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E38" w:rsidRPr="003479AB" w:rsidRDefault="00F17D03" w:rsidP="003479AB">
      <w:pPr>
        <w:widowControl/>
        <w:suppressAutoHyphens w:val="0"/>
        <w:overflowPunct w:val="0"/>
        <w:jc w:val="center"/>
        <w:textAlignment w:val="auto"/>
        <w:rPr>
          <w:b/>
          <w:bCs/>
          <w:szCs w:val="24"/>
          <w:lang w:val="uk-UA"/>
        </w:rPr>
      </w:pPr>
      <w:r w:rsidRPr="003479AB">
        <w:rPr>
          <w:b/>
          <w:bCs/>
          <w:color w:val="00000A"/>
          <w:szCs w:val="24"/>
          <w:lang w:val="uk-UA"/>
        </w:rPr>
        <w:t>АНАЛІЗ РЕГУЛЯТОРНОГО ВПЛИВУ</w:t>
      </w:r>
    </w:p>
    <w:p w:rsidR="00DF6E38" w:rsidRPr="003479AB" w:rsidRDefault="003431E1" w:rsidP="003479AB">
      <w:pPr>
        <w:jc w:val="center"/>
        <w:rPr>
          <w:color w:val="00000A"/>
          <w:szCs w:val="24"/>
          <w:lang w:val="uk-UA"/>
        </w:rPr>
      </w:pPr>
      <w:r w:rsidRPr="003479AB">
        <w:rPr>
          <w:b/>
          <w:bCs/>
          <w:color w:val="00000A"/>
          <w:szCs w:val="24"/>
          <w:lang w:val="uk-UA"/>
        </w:rPr>
        <w:t xml:space="preserve">до </w:t>
      </w:r>
      <w:r w:rsidR="00F17D03" w:rsidRPr="003479AB">
        <w:rPr>
          <w:b/>
          <w:bCs/>
          <w:color w:val="00000A"/>
          <w:szCs w:val="24"/>
          <w:lang w:val="uk-UA"/>
        </w:rPr>
        <w:t xml:space="preserve">проекту </w:t>
      </w:r>
      <w:bookmarkStart w:id="0" w:name="__DdeLink__1752_1853065938"/>
      <w:r w:rsidR="00F17D03" w:rsidRPr="003479AB">
        <w:rPr>
          <w:b/>
          <w:bCs/>
          <w:color w:val="00000A"/>
          <w:szCs w:val="24"/>
          <w:lang w:val="uk-UA"/>
        </w:rPr>
        <w:t xml:space="preserve">розпорядження керівника Авдіївської міської військово-цивільної адміністрації Покровського району Донецької області </w:t>
      </w:r>
      <w:bookmarkEnd w:id="0"/>
      <w:r w:rsidR="00F17D03" w:rsidRPr="003479AB">
        <w:rPr>
          <w:b/>
          <w:bCs/>
          <w:color w:val="00000A"/>
          <w:szCs w:val="24"/>
          <w:lang w:val="uk-UA"/>
        </w:rPr>
        <w:t xml:space="preserve">«Про встановлення ставок та пільг із сплати земельного податку на території </w:t>
      </w:r>
      <w:r w:rsidR="00F17D03" w:rsidRPr="003479AB">
        <w:rPr>
          <w:b/>
          <w:bCs/>
          <w:szCs w:val="24"/>
          <w:lang w:val="uk-UA" w:eastAsia="ru-RU"/>
        </w:rPr>
        <w:t>Авдіївської міської територіальної громади</w:t>
      </w:r>
      <w:r w:rsidR="00F17D03" w:rsidRPr="003479AB">
        <w:rPr>
          <w:b/>
          <w:bCs/>
          <w:color w:val="00000A"/>
          <w:szCs w:val="24"/>
          <w:lang w:val="uk-UA"/>
        </w:rPr>
        <w:t>»</w:t>
      </w:r>
    </w:p>
    <w:p w:rsidR="00DF6E38" w:rsidRPr="003479AB" w:rsidRDefault="00DF6E38" w:rsidP="003479AB">
      <w:pPr>
        <w:widowControl/>
        <w:suppressAutoHyphens w:val="0"/>
        <w:overflowPunct w:val="0"/>
        <w:textAlignment w:val="auto"/>
        <w:rPr>
          <w:b/>
          <w:bCs/>
          <w:color w:val="00000A"/>
          <w:szCs w:val="24"/>
          <w:lang w:val="uk-UA"/>
        </w:rPr>
      </w:pPr>
    </w:p>
    <w:p w:rsidR="00DF6E38" w:rsidRPr="003479AB" w:rsidRDefault="00F17D03" w:rsidP="003479AB">
      <w:pPr>
        <w:ind w:firstLine="720"/>
        <w:rPr>
          <w:color w:val="00000A"/>
          <w:szCs w:val="24"/>
          <w:lang w:val="uk-UA"/>
        </w:rPr>
      </w:pPr>
      <w:r w:rsidRPr="003479AB">
        <w:rPr>
          <w:color w:val="00000A"/>
          <w:szCs w:val="24"/>
          <w:lang w:val="uk-UA"/>
        </w:rPr>
        <w:t xml:space="preserve">Цей аналіз регуляторного впливу (далі Аналіз) розроблений на виконання та з дотриманням вимог Закону України від 11.09.03 № 1160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11.03.04 №308 і визначає правові та організаційні засади реалізації проекту розпорядження керівника Авдіївської міської військово-цивільної адміністрації Покровського району Донецької області «Про встановлення ставок та пільг із сплати земельного податку на території </w:t>
      </w:r>
      <w:r w:rsidRPr="003479AB">
        <w:rPr>
          <w:bCs/>
          <w:szCs w:val="24"/>
          <w:lang w:val="uk-UA" w:eastAsia="ru-RU"/>
        </w:rPr>
        <w:t>Авдіївської міської територіальної громади</w:t>
      </w:r>
      <w:r w:rsidRPr="003479AB">
        <w:rPr>
          <w:color w:val="00000A"/>
          <w:szCs w:val="24"/>
          <w:lang w:val="uk-UA"/>
        </w:rPr>
        <w:t>».</w:t>
      </w:r>
    </w:p>
    <w:p w:rsidR="002E015F" w:rsidRPr="003479AB" w:rsidRDefault="002E015F" w:rsidP="003479AB">
      <w:pPr>
        <w:ind w:firstLine="720"/>
        <w:rPr>
          <w:color w:val="00000A"/>
          <w:szCs w:val="24"/>
          <w:lang w:val="uk-UA"/>
        </w:rPr>
      </w:pPr>
    </w:p>
    <w:p w:rsidR="00DF6E38" w:rsidRPr="003479AB" w:rsidRDefault="00F17D03" w:rsidP="003479AB">
      <w:pPr>
        <w:ind w:firstLine="708"/>
        <w:jc w:val="center"/>
        <w:rPr>
          <w:szCs w:val="24"/>
          <w:lang w:val="uk-UA"/>
        </w:rPr>
      </w:pPr>
      <w:r w:rsidRPr="003479AB">
        <w:rPr>
          <w:b/>
          <w:bCs/>
          <w:color w:val="00000A"/>
          <w:szCs w:val="24"/>
          <w:lang w:val="uk-UA"/>
        </w:rPr>
        <w:t xml:space="preserve">І. </w:t>
      </w:r>
      <w:r w:rsidRPr="003479AB">
        <w:rPr>
          <w:b/>
          <w:bCs/>
          <w:caps/>
          <w:color w:val="00000A"/>
          <w:szCs w:val="24"/>
          <w:lang w:val="uk-UA"/>
        </w:rPr>
        <w:t>Визначення проблеми</w:t>
      </w:r>
    </w:p>
    <w:p w:rsidR="002E015F" w:rsidRPr="003479AB" w:rsidRDefault="002E015F" w:rsidP="003479AB">
      <w:pPr>
        <w:rPr>
          <w:szCs w:val="24"/>
          <w:lang w:val="uk-UA"/>
        </w:rPr>
      </w:pPr>
    </w:p>
    <w:p w:rsidR="00DF6E38" w:rsidRPr="003479AB" w:rsidRDefault="00F17D03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szCs w:val="24"/>
          <w:lang w:val="uk-UA"/>
        </w:rPr>
        <w:t xml:space="preserve">Розпорядженням Кабінету </w:t>
      </w:r>
      <w:r w:rsidRPr="003479AB">
        <w:rPr>
          <w:color w:val="auto"/>
          <w:szCs w:val="24"/>
          <w:lang w:val="uk-UA"/>
        </w:rPr>
        <w:t>Міністрів України від 12 червня 2020 р. № 710-р «Про визначення адміністративних центрів та затвердження територій територіальних громад Донецької області» було створено Авдіївську міську територіальну громаду у складі міста Авдіївка та селища Опитне Ясинуватського району</w:t>
      </w:r>
      <w:r w:rsidR="003431E1" w:rsidRPr="003479AB">
        <w:rPr>
          <w:color w:val="auto"/>
          <w:szCs w:val="24"/>
          <w:lang w:val="uk-UA"/>
        </w:rPr>
        <w:t xml:space="preserve"> Донецької області</w:t>
      </w:r>
      <w:r w:rsidRPr="003479AB">
        <w:rPr>
          <w:color w:val="auto"/>
          <w:szCs w:val="24"/>
          <w:lang w:val="uk-UA"/>
        </w:rPr>
        <w:t>.</w:t>
      </w:r>
    </w:p>
    <w:p w:rsidR="000C7DA8" w:rsidRPr="003479AB" w:rsidRDefault="003431E1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Р</w:t>
      </w:r>
      <w:r w:rsidR="00F17D03" w:rsidRPr="003479AB">
        <w:rPr>
          <w:color w:val="auto"/>
          <w:szCs w:val="24"/>
          <w:lang w:val="uk-UA"/>
        </w:rPr>
        <w:t>озпорядження</w:t>
      </w:r>
      <w:r w:rsidR="003479AB" w:rsidRPr="003479AB">
        <w:rPr>
          <w:color w:val="auto"/>
          <w:szCs w:val="24"/>
          <w:lang w:val="uk-UA"/>
        </w:rPr>
        <w:t>м</w:t>
      </w:r>
      <w:r w:rsidR="00F17D03" w:rsidRPr="003479AB">
        <w:rPr>
          <w:color w:val="auto"/>
          <w:szCs w:val="24"/>
          <w:lang w:val="uk-UA"/>
        </w:rPr>
        <w:t xml:space="preserve"> керівника військово-цивільної адміністрації мі</w:t>
      </w:r>
      <w:r w:rsidR="003479AB" w:rsidRPr="003479AB">
        <w:rPr>
          <w:color w:val="auto"/>
          <w:szCs w:val="24"/>
          <w:lang w:val="uk-UA"/>
        </w:rPr>
        <w:t xml:space="preserve">ста Авдіївка Донецької області </w:t>
      </w:r>
      <w:r w:rsidR="00F17D03" w:rsidRPr="003479AB">
        <w:rPr>
          <w:color w:val="auto"/>
          <w:szCs w:val="24"/>
          <w:lang w:val="uk-UA"/>
        </w:rPr>
        <w:t xml:space="preserve">від 27.06.2018 № 467 «Про встановлення ставок та пільг із сплати земельного податку на території міста Авдіївка на 2019 рік», дія якого подовжувалася на 2020, 2021 роки, </w:t>
      </w:r>
      <w:r w:rsidRPr="003479AB">
        <w:rPr>
          <w:color w:val="auto"/>
          <w:szCs w:val="24"/>
          <w:lang w:val="uk-UA"/>
        </w:rPr>
        <w:t>та рішенням Спартаківської сільської ради Ясинуватського району Донецької області від 05.07.2019 №576/1/54-VI «Про встановлення місцевих податків і зборів та акцизного податку» термін дії якого подовжився на 2021 рік</w:t>
      </w:r>
      <w:r w:rsidR="000C7DA8" w:rsidRPr="003479AB">
        <w:rPr>
          <w:color w:val="auto"/>
          <w:szCs w:val="24"/>
          <w:lang w:val="uk-UA"/>
        </w:rPr>
        <w:t>,</w:t>
      </w:r>
      <w:r w:rsidRPr="003479AB">
        <w:rPr>
          <w:color w:val="auto"/>
          <w:szCs w:val="24"/>
          <w:lang w:val="uk-UA"/>
        </w:rPr>
        <w:t xml:space="preserve"> </w:t>
      </w:r>
      <w:r w:rsidR="000C7DA8" w:rsidRPr="003479AB">
        <w:rPr>
          <w:color w:val="auto"/>
          <w:szCs w:val="24"/>
          <w:lang w:val="uk-UA"/>
        </w:rPr>
        <w:t>встановлені ставки податку на майно в частині плати за землю та передбачено встановлення пільг з їх сплати.</w:t>
      </w:r>
    </w:p>
    <w:p w:rsidR="00B5226D" w:rsidRPr="003479AB" w:rsidRDefault="000C7DA8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Земельний податок у 2020 році по місту Авдіївка </w:t>
      </w:r>
      <w:r w:rsidR="00651A73" w:rsidRPr="003479AB">
        <w:rPr>
          <w:color w:val="auto"/>
          <w:szCs w:val="24"/>
          <w:lang w:val="uk-UA"/>
        </w:rPr>
        <w:t>сплатити 223 платника</w:t>
      </w:r>
      <w:r w:rsidRPr="003479AB">
        <w:rPr>
          <w:color w:val="auto"/>
          <w:szCs w:val="24"/>
          <w:lang w:val="uk-UA"/>
        </w:rPr>
        <w:t xml:space="preserve"> на суму </w:t>
      </w:r>
      <w:r w:rsidR="00651A73" w:rsidRPr="003479AB">
        <w:rPr>
          <w:color w:val="auto"/>
          <w:szCs w:val="24"/>
          <w:lang w:val="uk-UA"/>
        </w:rPr>
        <w:t>8884,25 тис. грн.,</w:t>
      </w:r>
      <w:r w:rsidRPr="003479AB">
        <w:rPr>
          <w:color w:val="auto"/>
          <w:szCs w:val="24"/>
          <w:lang w:val="uk-UA"/>
        </w:rPr>
        <w:t xml:space="preserve"> </w:t>
      </w:r>
      <w:r w:rsidR="00651A73" w:rsidRPr="003479AB">
        <w:rPr>
          <w:color w:val="auto"/>
          <w:szCs w:val="24"/>
          <w:lang w:val="uk-UA"/>
        </w:rPr>
        <w:t>у тому числі 23 юридичні особи на суму 8866,95 тис. грн.,</w:t>
      </w:r>
      <w:r w:rsidR="00AF2D48" w:rsidRPr="003479AB">
        <w:rPr>
          <w:color w:val="auto"/>
          <w:szCs w:val="24"/>
          <w:lang w:val="uk-UA"/>
        </w:rPr>
        <w:t xml:space="preserve"> та</w:t>
      </w:r>
      <w:r w:rsidR="00651A73" w:rsidRPr="003479AB">
        <w:rPr>
          <w:color w:val="auto"/>
          <w:szCs w:val="24"/>
          <w:lang w:val="uk-UA"/>
        </w:rPr>
        <w:t xml:space="preserve"> 203 фізичні особи на суму 17,</w:t>
      </w:r>
      <w:r w:rsidR="00136341" w:rsidRPr="003479AB">
        <w:rPr>
          <w:color w:val="auto"/>
          <w:szCs w:val="24"/>
          <w:lang w:val="uk-UA"/>
        </w:rPr>
        <w:t xml:space="preserve">3 тис. грн. </w:t>
      </w:r>
      <w:r w:rsidR="00B5226D" w:rsidRPr="003479AB">
        <w:rPr>
          <w:color w:val="auto"/>
          <w:szCs w:val="24"/>
          <w:lang w:val="uk-UA"/>
        </w:rPr>
        <w:t>У зв’язку з розташуванням селища Опитне впритул до лінії зіткнення, відсутності у суб’єктів господарювання можливості проведення їх діяльності, плата за землю до бюджету Спартаківської сільської ради</w:t>
      </w:r>
      <w:r w:rsidR="003479AB" w:rsidRPr="003479AB">
        <w:rPr>
          <w:color w:val="auto"/>
          <w:szCs w:val="24"/>
          <w:lang w:val="uk-UA"/>
        </w:rPr>
        <w:t xml:space="preserve"> Ясинуватського району </w:t>
      </w:r>
      <w:r w:rsidR="00B5226D" w:rsidRPr="003479AB">
        <w:rPr>
          <w:color w:val="auto"/>
          <w:szCs w:val="24"/>
          <w:lang w:val="uk-UA"/>
        </w:rPr>
        <w:t>від</w:t>
      </w:r>
      <w:r w:rsidR="003479AB" w:rsidRPr="003479AB">
        <w:rPr>
          <w:color w:val="auto"/>
          <w:szCs w:val="24"/>
          <w:lang w:val="uk-UA"/>
        </w:rPr>
        <w:t xml:space="preserve"> платників земельного податку</w:t>
      </w:r>
      <w:r w:rsidR="00B5226D" w:rsidRPr="003479AB">
        <w:rPr>
          <w:color w:val="auto"/>
          <w:szCs w:val="24"/>
          <w:lang w:val="uk-UA"/>
        </w:rPr>
        <w:t xml:space="preserve"> по селищу Опитне не надходила. </w:t>
      </w:r>
    </w:p>
    <w:p w:rsidR="009115AE" w:rsidRPr="003479AB" w:rsidRDefault="009115AE" w:rsidP="003479AB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ru-RU"/>
        </w:rPr>
        <w:t>Згідно з Указом Президента України від 14.04.2014 № 405/2014 «Про рішення Ради національної безпеки і оборони України від 13 квітня 2014 року «Про невідкладні заходи щодо подолання терористичної загрози і збереження територіальної цілісності України» та відповідно до статті 1 Закону України «Про тимчасові заходи на період проведення антитерористичної операції» на території Донецької області з 2014 року проводиться антитерористична операція, яка з 30 квітня 2018 року набула статусу операції Об’єднаних сил із забезпечення національної безпеки і оборони, відсічі збройної агресії Російської Федерації згідно з Указом Президента України від 30.04.2018 № 116/2018 «Про рішення Ради національної безпеки і оборони України від 30 квітня 2018 року «Про широкомасштабну антитерористичну операцію в Донецькій та Луганській областях». Указом Президента України</w:t>
      </w:r>
      <w:r w:rsidRPr="003479AB">
        <w:rPr>
          <w:color w:val="auto"/>
          <w:szCs w:val="24"/>
          <w:lang w:val="uk-UA"/>
        </w:rPr>
        <w:t xml:space="preserve"> від 07.02.2019 №32/2019 «Про межі та перелік районів, міст, селищ і сіл, частин їх територій, тимчасово окупованих у Донецькій та Луганській областях» затверджено межі тимчасово окупованих територій у Донецькій та Луганській областях та перелік </w:t>
      </w:r>
      <w:r w:rsidRPr="003479AB">
        <w:rPr>
          <w:iCs/>
          <w:color w:val="auto"/>
          <w:szCs w:val="24"/>
          <w:shd w:val="clear" w:color="auto" w:fill="FFFFFF"/>
          <w:lang w:val="uk-UA"/>
        </w:rPr>
        <w:t>районів, міст, селищ і сіл, частин їх територій, тимчасово окупованих у Донецькій та Луганській областях</w:t>
      </w:r>
      <w:r w:rsidR="00811701" w:rsidRPr="003479AB">
        <w:rPr>
          <w:color w:val="auto"/>
          <w:szCs w:val="24"/>
          <w:lang w:val="uk-UA"/>
        </w:rPr>
        <w:t>.</w:t>
      </w:r>
    </w:p>
    <w:p w:rsidR="00811701" w:rsidRPr="003479AB" w:rsidRDefault="00811701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Р</w:t>
      </w:r>
      <w:r w:rsidR="008C1F55" w:rsidRPr="003479AB">
        <w:rPr>
          <w:color w:val="auto"/>
          <w:szCs w:val="24"/>
          <w:lang w:val="uk-UA"/>
        </w:rPr>
        <w:t>озпорядження</w:t>
      </w:r>
      <w:r w:rsidRPr="003479AB">
        <w:rPr>
          <w:color w:val="auto"/>
          <w:szCs w:val="24"/>
          <w:lang w:val="uk-UA"/>
        </w:rPr>
        <w:t>м</w:t>
      </w:r>
      <w:r w:rsidR="008C1F55" w:rsidRPr="003479AB">
        <w:rPr>
          <w:color w:val="auto"/>
          <w:szCs w:val="24"/>
          <w:lang w:val="uk-UA"/>
        </w:rPr>
        <w:t xml:space="preserve"> Кабінету Міністрів України від 07.11.2014 №1085-р «Про затвердження переліку населених пунктів, на території яких органи державної влади тимчасово не здійснюють свої повноваження та переліку населених пунктів, що розташовані на лінії зіткнення» (із змінами), </w:t>
      </w:r>
      <w:r w:rsidRPr="003479AB">
        <w:rPr>
          <w:color w:val="auto"/>
          <w:szCs w:val="24"/>
          <w:lang w:val="uk-UA"/>
        </w:rPr>
        <w:t>та від 02.12.2015 №1275-р</w:t>
      </w:r>
      <w:bookmarkStart w:id="1" w:name="n3"/>
      <w:bookmarkEnd w:id="1"/>
      <w:r w:rsidRPr="003479AB">
        <w:rPr>
          <w:color w:val="auto"/>
          <w:szCs w:val="24"/>
          <w:lang w:val="uk-UA"/>
        </w:rPr>
        <w:t xml:space="preserve"> «</w:t>
      </w:r>
      <w:r w:rsidRPr="003479AB">
        <w:rPr>
          <w:bCs/>
          <w:color w:val="auto"/>
          <w:szCs w:val="24"/>
          <w:lang w:val="uk-UA" w:eastAsia="uk-UA"/>
        </w:rPr>
        <w:t xml:space="preserve">Про затвердження переліку </w:t>
      </w:r>
      <w:r w:rsidRPr="003479AB">
        <w:rPr>
          <w:bCs/>
          <w:color w:val="auto"/>
          <w:szCs w:val="24"/>
          <w:lang w:val="uk-UA" w:eastAsia="uk-UA"/>
        </w:rPr>
        <w:lastRenderedPageBreak/>
        <w:t>населених пунктів, на території яких здійснювалася антитерористична операція, та визнання такими, що втратили чинність, деяких розпоряджень Кабінету Міністрів України»</w:t>
      </w:r>
      <w:r w:rsidR="00B5226D" w:rsidRPr="003479AB">
        <w:rPr>
          <w:bCs/>
          <w:color w:val="auto"/>
          <w:szCs w:val="24"/>
          <w:lang w:val="uk-UA" w:eastAsia="uk-UA"/>
        </w:rPr>
        <w:t xml:space="preserve"> (із змінами)</w:t>
      </w:r>
      <w:r w:rsidRPr="003479AB">
        <w:rPr>
          <w:bCs/>
          <w:color w:val="auto"/>
          <w:szCs w:val="24"/>
          <w:lang w:val="uk-UA" w:eastAsia="uk-UA"/>
        </w:rPr>
        <w:t xml:space="preserve"> місто Авдіївка та</w:t>
      </w:r>
      <w:r w:rsidRPr="003479AB">
        <w:rPr>
          <w:color w:val="auto"/>
          <w:szCs w:val="24"/>
          <w:lang w:val="uk-UA"/>
        </w:rPr>
        <w:t xml:space="preserve"> селище Опитне знаходяться в </w:t>
      </w:r>
      <w:r w:rsidR="00B5226D" w:rsidRPr="003479AB">
        <w:rPr>
          <w:color w:val="auto"/>
          <w:szCs w:val="24"/>
          <w:lang w:val="uk-UA"/>
        </w:rPr>
        <w:t>П</w:t>
      </w:r>
      <w:r w:rsidRPr="003479AB">
        <w:rPr>
          <w:color w:val="auto"/>
          <w:szCs w:val="24"/>
          <w:lang w:val="uk-UA"/>
        </w:rPr>
        <w:t>ереліку населених пунктів, що розташовані на лінії зіткнення</w:t>
      </w:r>
      <w:r w:rsidR="00B5226D" w:rsidRPr="003479AB">
        <w:rPr>
          <w:color w:val="auto"/>
          <w:szCs w:val="24"/>
          <w:lang w:val="uk-UA"/>
        </w:rPr>
        <w:t xml:space="preserve"> та належать до Переліку населених пунктів на яких здійснювалася антитерористична операція</w:t>
      </w:r>
      <w:r w:rsidRPr="003479AB">
        <w:rPr>
          <w:color w:val="auto"/>
          <w:szCs w:val="24"/>
          <w:lang w:val="uk-UA"/>
        </w:rPr>
        <w:t>.</w:t>
      </w:r>
    </w:p>
    <w:p w:rsidR="00517E42" w:rsidRPr="003479AB" w:rsidRDefault="00517E42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У зв’язку з ситуацією, яка склалася на території Донецької області, особливої гостроти набуло питання оподаткув</w:t>
      </w:r>
      <w:r w:rsidR="00B5226D" w:rsidRPr="003479AB">
        <w:rPr>
          <w:color w:val="auto"/>
          <w:szCs w:val="24"/>
          <w:lang w:val="uk-UA"/>
        </w:rPr>
        <w:t xml:space="preserve">ання земельних ділянок, в тому числі </w:t>
      </w:r>
      <w:r w:rsidRPr="003479AB">
        <w:rPr>
          <w:color w:val="auto"/>
          <w:szCs w:val="24"/>
          <w:lang w:val="uk-UA"/>
        </w:rPr>
        <w:t>сільськогосподарського призначення, що розташовані в районі ведення бойових дій (або на яких відбув</w:t>
      </w:r>
      <w:r w:rsidR="00B5226D" w:rsidRPr="003479AB">
        <w:rPr>
          <w:color w:val="auto"/>
          <w:szCs w:val="24"/>
          <w:lang w:val="uk-UA"/>
        </w:rPr>
        <w:t xml:space="preserve">ається подолання їх наслідків), які розташовані </w:t>
      </w:r>
      <w:r w:rsidRPr="003479AB">
        <w:rPr>
          <w:color w:val="auto"/>
          <w:szCs w:val="24"/>
          <w:lang w:val="uk-UA"/>
        </w:rPr>
        <w:t>вздовж лінії зіткнен</w:t>
      </w:r>
      <w:r w:rsidR="00B5226D" w:rsidRPr="003479AB">
        <w:rPr>
          <w:color w:val="auto"/>
          <w:szCs w:val="24"/>
          <w:lang w:val="uk-UA"/>
        </w:rPr>
        <w:t>ня поблизу окупованих територій, земельні ділянки</w:t>
      </w:r>
      <w:r w:rsidRPr="003479AB">
        <w:rPr>
          <w:color w:val="auto"/>
          <w:szCs w:val="24"/>
          <w:lang w:val="uk-UA"/>
        </w:rPr>
        <w:t xml:space="preserve"> на яких розташовані інж</w:t>
      </w:r>
      <w:r w:rsidR="00B5226D" w:rsidRPr="003479AB">
        <w:rPr>
          <w:color w:val="auto"/>
          <w:szCs w:val="24"/>
          <w:lang w:val="uk-UA"/>
        </w:rPr>
        <w:t xml:space="preserve">енерні (фортифікаційні) споруди, а також території </w:t>
      </w:r>
      <w:r w:rsidRPr="003479AB">
        <w:rPr>
          <w:color w:val="auto"/>
          <w:szCs w:val="24"/>
          <w:lang w:val="uk-UA"/>
        </w:rPr>
        <w:t>доступ до яких через небезпеку заборонений військовими.</w:t>
      </w:r>
    </w:p>
    <w:p w:rsidR="00517E42" w:rsidRPr="003479AB" w:rsidRDefault="00517E42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Відповідно до статті 41 Конституції України кожен має право володіти, користуватися і розпоряджатися своєю власністю. Громадяни для задоволення своїх потреб можуть користуватися об’єктами права державної та комунальної власності відповідно до закону.</w:t>
      </w:r>
    </w:p>
    <w:p w:rsidR="00254BC6" w:rsidRPr="003479AB" w:rsidRDefault="00517E42" w:rsidP="00373874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Разом з тим, власники та користувачі земельних ділянок позбавлені з об’єктивних причин, незалежних від них, можливості обробляти такі земельні ділянки та отримувати врожай, але зобов’язані згідно із законодавство</w:t>
      </w:r>
      <w:r w:rsidR="00373874">
        <w:rPr>
          <w:color w:val="auto"/>
          <w:szCs w:val="24"/>
          <w:lang w:val="uk-UA"/>
        </w:rPr>
        <w:t>м сплачувати земельний податок.</w:t>
      </w:r>
    </w:p>
    <w:p w:rsidR="00F71234" w:rsidRPr="003479AB" w:rsidRDefault="00F71234" w:rsidP="00F71234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ru-RU"/>
        </w:rPr>
        <w:t>Згідно з пунктами 6,</w:t>
      </w:r>
      <w:r w:rsidR="00254BC6" w:rsidRPr="003479AB">
        <w:rPr>
          <w:color w:val="auto"/>
          <w:szCs w:val="24"/>
          <w:lang w:val="uk-UA" w:eastAsia="ru-RU"/>
        </w:rPr>
        <w:t xml:space="preserve"> </w:t>
      </w:r>
      <w:r w:rsidR="003479AB" w:rsidRPr="003479AB">
        <w:rPr>
          <w:color w:val="auto"/>
          <w:szCs w:val="24"/>
          <w:lang w:val="uk-UA" w:eastAsia="ru-RU"/>
        </w:rPr>
        <w:t xml:space="preserve">7 частини першої статті 4 </w:t>
      </w:r>
      <w:r w:rsidRPr="003479AB">
        <w:rPr>
          <w:color w:val="auto"/>
          <w:szCs w:val="24"/>
          <w:lang w:val="uk-UA" w:eastAsia="ru-RU"/>
        </w:rPr>
        <w:t>Закону України «Про військово-цивільні адміністрації» до повноважень в</w:t>
      </w:r>
      <w:r w:rsidR="003479AB" w:rsidRPr="003479AB">
        <w:rPr>
          <w:color w:val="auto"/>
          <w:szCs w:val="24"/>
          <w:lang w:val="uk-UA" w:eastAsia="ru-RU"/>
        </w:rPr>
        <w:t>ійськово-цивільних адміністрацій</w:t>
      </w:r>
      <w:r w:rsidRPr="003479AB">
        <w:rPr>
          <w:color w:val="auto"/>
          <w:szCs w:val="24"/>
          <w:lang w:val="uk-UA" w:eastAsia="ru-RU"/>
        </w:rPr>
        <w:t xml:space="preserve"> населених пунктів належить встановлення ставок місцевих податків і зборів відповідно</w:t>
      </w:r>
      <w:r w:rsidR="008378B2">
        <w:rPr>
          <w:color w:val="auto"/>
          <w:szCs w:val="24"/>
          <w:lang w:val="uk-UA" w:eastAsia="ru-RU"/>
        </w:rPr>
        <w:t xml:space="preserve"> до Податкового кодексу України та</w:t>
      </w:r>
      <w:r w:rsidR="008378B2" w:rsidRPr="008378B2">
        <w:t xml:space="preserve"> </w:t>
      </w:r>
      <w:r w:rsidR="008378B2" w:rsidRPr="008378B2">
        <w:rPr>
          <w:color w:val="auto"/>
          <w:szCs w:val="24"/>
          <w:lang w:val="uk-UA" w:eastAsia="ru-RU"/>
        </w:rPr>
        <w:t>прийняття рішень щодо надання відповідно до законодавства пільг зі сплати місцевих</w:t>
      </w:r>
      <w:r w:rsidR="008378B2">
        <w:rPr>
          <w:color w:val="auto"/>
          <w:szCs w:val="24"/>
          <w:lang w:val="uk-UA" w:eastAsia="ru-RU"/>
        </w:rPr>
        <w:t xml:space="preserve"> податків і зборів,</w:t>
      </w:r>
      <w:r w:rsidRPr="003479AB">
        <w:rPr>
          <w:color w:val="auto"/>
          <w:szCs w:val="24"/>
          <w:lang w:val="uk-UA" w:eastAsia="ru-RU"/>
        </w:rPr>
        <w:t xml:space="preserve"> якщо </w:t>
      </w:r>
      <w:r w:rsidR="00B5712C" w:rsidRPr="003479AB">
        <w:rPr>
          <w:color w:val="auto"/>
          <w:szCs w:val="24"/>
          <w:lang w:val="uk-UA" w:eastAsia="ru-RU"/>
        </w:rPr>
        <w:t>відсутнє</w:t>
      </w:r>
      <w:r w:rsidRPr="003479AB">
        <w:rPr>
          <w:color w:val="auto"/>
          <w:szCs w:val="24"/>
          <w:lang w:val="uk-UA" w:eastAsia="ru-RU"/>
        </w:rPr>
        <w:t xml:space="preserve"> рішенн</w:t>
      </w:r>
      <w:r w:rsidR="003479AB" w:rsidRPr="003479AB">
        <w:rPr>
          <w:color w:val="auto"/>
          <w:szCs w:val="24"/>
          <w:lang w:val="uk-UA" w:eastAsia="ru-RU"/>
        </w:rPr>
        <w:t>я відповідної ради з цих питань.</w:t>
      </w:r>
    </w:p>
    <w:p w:rsidR="00B5712C" w:rsidRPr="003479AB" w:rsidRDefault="00F71234" w:rsidP="00F71234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ru-RU"/>
        </w:rPr>
        <w:t>Відповідно до пункту 12.3 статті 12 Податков</w:t>
      </w:r>
      <w:r w:rsidR="006C415F" w:rsidRPr="003479AB">
        <w:rPr>
          <w:color w:val="auto"/>
          <w:szCs w:val="24"/>
          <w:lang w:val="uk-UA" w:eastAsia="ru-RU"/>
        </w:rPr>
        <w:t>ого кодексу України сільські, се</w:t>
      </w:r>
      <w:r w:rsidRPr="003479AB">
        <w:rPr>
          <w:color w:val="auto"/>
          <w:szCs w:val="24"/>
          <w:lang w:val="uk-UA" w:eastAsia="ru-RU"/>
        </w:rPr>
        <w:t>лищні</w:t>
      </w:r>
      <w:r w:rsidRPr="003479AB">
        <w:rPr>
          <w:color w:val="auto"/>
          <w:szCs w:val="24"/>
          <w:shd w:val="clear" w:color="auto" w:fill="FFFFFF"/>
          <w:lang w:val="uk-UA"/>
        </w:rPr>
        <w:t xml:space="preserve"> міські ради та ради об’єднаних територіальних громад, що створені згідно із законом та перспективним планом формування територій громад,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року, що передує бюджетному періоду, в якому планується застосовування встановлюваних місцевих податків та/або зборів, та про внесення змін до таких рішень.</w:t>
      </w:r>
    </w:p>
    <w:p w:rsidR="00B5712C" w:rsidRPr="003479AB" w:rsidRDefault="00B5712C" w:rsidP="00F71234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ru-RU"/>
        </w:rPr>
        <w:t>Згідно зі статтею 7 Податкового кодексу України</w:t>
      </w:r>
      <w:r w:rsidRPr="003479AB">
        <w:rPr>
          <w:color w:val="auto"/>
          <w:szCs w:val="24"/>
          <w:shd w:val="clear" w:color="auto" w:fill="FFFFFF"/>
          <w:lang w:val="uk-UA"/>
        </w:rPr>
        <w:t xml:space="preserve"> під час встановлення податку можуть передбачатися податкові пільги та порядок їх застосування.</w:t>
      </w:r>
      <w:r w:rsidR="00F71234" w:rsidRPr="003479AB">
        <w:rPr>
          <w:color w:val="auto"/>
          <w:szCs w:val="24"/>
          <w:lang w:val="uk-UA" w:eastAsia="ru-RU"/>
        </w:rPr>
        <w:t xml:space="preserve"> </w:t>
      </w:r>
    </w:p>
    <w:p w:rsidR="00B5712C" w:rsidRPr="003479AB" w:rsidRDefault="00B5712C" w:rsidP="00F71234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ru-RU"/>
        </w:rPr>
        <w:t>Підставами для надання податкових пільг згідно з пунктом 30.2 статті 30 Податкового кодексу України є особливості, що характеризують певну групу платників податків, вид їх діяльності, об’єкт оподаткування або характер та суспільне значення здійснюваних ними витрат.</w:t>
      </w:r>
    </w:p>
    <w:p w:rsidR="00B5712C" w:rsidRPr="003479AB" w:rsidRDefault="003479AB" w:rsidP="00F71234">
      <w:pPr>
        <w:widowControl/>
        <w:suppressAutoHyphens w:val="0"/>
        <w:ind w:firstLine="709"/>
        <w:textAlignment w:val="auto"/>
        <w:rPr>
          <w:color w:val="auto"/>
          <w:szCs w:val="24"/>
          <w:shd w:val="clear" w:color="auto" w:fill="FFFFFF"/>
          <w:lang w:val="uk-UA"/>
        </w:rPr>
      </w:pPr>
      <w:r w:rsidRPr="003479AB">
        <w:rPr>
          <w:color w:val="auto"/>
          <w:szCs w:val="24"/>
          <w:lang w:val="uk-UA" w:eastAsia="ru-RU"/>
        </w:rPr>
        <w:t xml:space="preserve">Відповідно </w:t>
      </w:r>
      <w:r w:rsidR="00940BD7" w:rsidRPr="003479AB">
        <w:rPr>
          <w:color w:val="auto"/>
          <w:szCs w:val="24"/>
          <w:lang w:val="uk-UA" w:eastAsia="ru-RU"/>
        </w:rPr>
        <w:t xml:space="preserve">до норм </w:t>
      </w:r>
      <w:r w:rsidR="00B5712C" w:rsidRPr="003479AB">
        <w:rPr>
          <w:color w:val="auto"/>
          <w:szCs w:val="24"/>
          <w:lang w:val="uk-UA" w:eastAsia="ru-RU"/>
        </w:rPr>
        <w:t xml:space="preserve">статті 284 Податкового кодексу України </w:t>
      </w:r>
      <w:r w:rsidR="00B5712C" w:rsidRPr="003479AB">
        <w:rPr>
          <w:color w:val="auto"/>
          <w:szCs w:val="24"/>
          <w:shd w:val="clear" w:color="auto" w:fill="FFFFFF"/>
          <w:lang w:val="uk-UA"/>
        </w:rPr>
        <w:t>орган</w:t>
      </w:r>
      <w:r w:rsidR="00940BD7" w:rsidRPr="003479AB">
        <w:rPr>
          <w:color w:val="auto"/>
          <w:szCs w:val="24"/>
          <w:shd w:val="clear" w:color="auto" w:fill="FFFFFF"/>
          <w:lang w:val="uk-UA"/>
        </w:rPr>
        <w:t>ам</w:t>
      </w:r>
      <w:r w:rsidR="00B5712C" w:rsidRPr="003479AB">
        <w:rPr>
          <w:color w:val="auto"/>
          <w:szCs w:val="24"/>
          <w:shd w:val="clear" w:color="auto" w:fill="FFFFFF"/>
          <w:lang w:val="uk-UA"/>
        </w:rPr>
        <w:t xml:space="preserve"> місце</w:t>
      </w:r>
      <w:r w:rsidR="00940BD7" w:rsidRPr="003479AB">
        <w:rPr>
          <w:color w:val="auto"/>
          <w:szCs w:val="24"/>
          <w:shd w:val="clear" w:color="auto" w:fill="FFFFFF"/>
          <w:lang w:val="uk-UA"/>
        </w:rPr>
        <w:t>в</w:t>
      </w:r>
      <w:r w:rsidR="00B5712C" w:rsidRPr="003479AB">
        <w:rPr>
          <w:color w:val="auto"/>
          <w:szCs w:val="24"/>
          <w:shd w:val="clear" w:color="auto" w:fill="FFFFFF"/>
          <w:lang w:val="uk-UA"/>
        </w:rPr>
        <w:t>ого самоврядування</w:t>
      </w:r>
      <w:r w:rsidR="00940BD7" w:rsidRPr="003479AB">
        <w:rPr>
          <w:color w:val="auto"/>
          <w:szCs w:val="24"/>
          <w:shd w:val="clear" w:color="auto" w:fill="FFFFFF"/>
          <w:lang w:val="uk-UA"/>
        </w:rPr>
        <w:t xml:space="preserve"> надано право встановлювати</w:t>
      </w:r>
      <w:r w:rsidR="00B5712C" w:rsidRPr="003479AB">
        <w:rPr>
          <w:color w:val="auto"/>
          <w:szCs w:val="24"/>
          <w:shd w:val="clear" w:color="auto" w:fill="FFFFFF"/>
          <w:lang w:val="uk-UA"/>
        </w:rPr>
        <w:t xml:space="preserve"> ставки плати за землю та пільги щодо земельного податку, що сплачується на відповідній території</w:t>
      </w:r>
      <w:r w:rsidRPr="003479AB">
        <w:rPr>
          <w:color w:val="auto"/>
          <w:szCs w:val="24"/>
          <w:shd w:val="clear" w:color="auto" w:fill="FFFFFF"/>
          <w:lang w:val="uk-UA"/>
        </w:rPr>
        <w:t>.</w:t>
      </w:r>
    </w:p>
    <w:p w:rsidR="00F71234" w:rsidRPr="003479AB" w:rsidRDefault="00B5712C" w:rsidP="00940BD7">
      <w:pPr>
        <w:widowControl/>
        <w:suppressAutoHyphens w:val="0"/>
        <w:ind w:firstLine="709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shd w:val="clear" w:color="auto" w:fill="FFFFFF"/>
          <w:lang w:val="uk-UA"/>
        </w:rPr>
        <w:t xml:space="preserve">Нові зміни до рішень щодо наданих пільг зі сплати земельного податку надаються відповідному контролюючому органу за місцезнаходженням </w:t>
      </w:r>
      <w:r w:rsidR="00611A8F" w:rsidRPr="003479AB">
        <w:rPr>
          <w:color w:val="auto"/>
          <w:szCs w:val="24"/>
          <w:shd w:val="clear" w:color="auto" w:fill="FFFFFF"/>
          <w:lang w:val="uk-UA"/>
        </w:rPr>
        <w:t>земельної ділянки до 1 числа</w:t>
      </w:r>
      <w:r w:rsidR="00EE5535" w:rsidRPr="003479AB">
        <w:rPr>
          <w:color w:val="auto"/>
          <w:szCs w:val="24"/>
          <w:shd w:val="clear" w:color="auto" w:fill="FFFFFF"/>
          <w:lang w:val="uk-UA"/>
        </w:rPr>
        <w:t xml:space="preserve"> </w:t>
      </w:r>
      <w:r w:rsidR="00611A8F" w:rsidRPr="003479AB">
        <w:rPr>
          <w:color w:val="auto"/>
          <w:szCs w:val="24"/>
          <w:shd w:val="clear" w:color="auto" w:fill="FFFFFF"/>
          <w:lang w:val="uk-UA"/>
        </w:rPr>
        <w:t>пер</w:t>
      </w:r>
      <w:r w:rsidRPr="003479AB">
        <w:rPr>
          <w:color w:val="auto"/>
          <w:szCs w:val="24"/>
          <w:shd w:val="clear" w:color="auto" w:fill="FFFFFF"/>
          <w:lang w:val="uk-UA"/>
        </w:rPr>
        <w:t>шого місяця кварталу, що настає за звітним кварталом, у якому відбулися зазначені зміни.</w:t>
      </w:r>
      <w:r w:rsidR="00F71234" w:rsidRPr="003479AB">
        <w:rPr>
          <w:color w:val="auto"/>
          <w:szCs w:val="24"/>
          <w:lang w:val="uk-UA" w:eastAsia="ru-RU"/>
        </w:rPr>
        <w:t xml:space="preserve"> </w:t>
      </w:r>
    </w:p>
    <w:p w:rsidR="003479AB" w:rsidRPr="003479AB" w:rsidRDefault="00940BD7" w:rsidP="003479AB">
      <w:pPr>
        <w:widowControl/>
        <w:suppressAutoHyphens w:val="0"/>
        <w:ind w:firstLine="720"/>
        <w:textAlignment w:val="auto"/>
        <w:rPr>
          <w:color w:val="auto"/>
          <w:szCs w:val="24"/>
          <w:lang w:val="uk-UA" w:eastAsia="x-none"/>
        </w:rPr>
      </w:pPr>
      <w:r w:rsidRPr="003479AB">
        <w:rPr>
          <w:color w:val="auto"/>
          <w:szCs w:val="24"/>
          <w:lang w:val="uk-UA" w:eastAsia="ru-RU"/>
        </w:rPr>
        <w:t>Враховуючи, що зазначене розпорядження</w:t>
      </w:r>
      <w:r w:rsidR="00611A8F" w:rsidRPr="003479AB">
        <w:rPr>
          <w:color w:val="auto"/>
          <w:szCs w:val="24"/>
          <w:lang w:val="uk-UA" w:eastAsia="ru-RU"/>
        </w:rPr>
        <w:t xml:space="preserve"> </w:t>
      </w:r>
      <w:r w:rsidRPr="003479AB">
        <w:rPr>
          <w:color w:val="auto"/>
          <w:szCs w:val="24"/>
          <w:lang w:val="uk-UA" w:eastAsia="ru-RU"/>
        </w:rPr>
        <w:t xml:space="preserve">керівника Авдіївської міської ВЦА </w:t>
      </w:r>
      <w:r w:rsidR="00F71234" w:rsidRPr="003479AB">
        <w:rPr>
          <w:color w:val="auto"/>
          <w:szCs w:val="24"/>
          <w:lang w:val="uk-UA" w:eastAsia="ru-RU"/>
        </w:rPr>
        <w:t>є</w:t>
      </w:r>
      <w:r w:rsidR="003479AB" w:rsidRPr="003479AB">
        <w:rPr>
          <w:color w:val="auto"/>
          <w:szCs w:val="24"/>
          <w:lang w:val="uk-UA" w:eastAsia="ru-RU"/>
        </w:rPr>
        <w:t xml:space="preserve"> </w:t>
      </w:r>
      <w:r w:rsidR="00F71234" w:rsidRPr="003479AB">
        <w:rPr>
          <w:color w:val="auto"/>
          <w:szCs w:val="24"/>
          <w:lang w:val="uk-UA" w:eastAsia="ru-RU"/>
        </w:rPr>
        <w:t>рег</w:t>
      </w:r>
      <w:r w:rsidR="00611A8F" w:rsidRPr="003479AB">
        <w:rPr>
          <w:color w:val="auto"/>
          <w:szCs w:val="24"/>
          <w:lang w:val="uk-UA" w:eastAsia="ru-RU"/>
        </w:rPr>
        <w:t>ул</w:t>
      </w:r>
      <w:r w:rsidR="00F71234" w:rsidRPr="003479AB">
        <w:rPr>
          <w:color w:val="auto"/>
          <w:szCs w:val="24"/>
          <w:lang w:val="uk-UA" w:eastAsia="ru-RU"/>
        </w:rPr>
        <w:t>яторним актом та потребує реалізації процедур, передбачених Законом</w:t>
      </w:r>
      <w:r w:rsidRPr="003479AB">
        <w:rPr>
          <w:color w:val="auto"/>
          <w:szCs w:val="24"/>
          <w:lang w:val="uk-UA" w:eastAsia="ru-RU"/>
        </w:rPr>
        <w:t xml:space="preserve"> України «Про засади державної регуляторної політики у сфері господарської діяльності»</w:t>
      </w:r>
      <w:r w:rsidR="00F71234" w:rsidRPr="003479AB">
        <w:rPr>
          <w:color w:val="auto"/>
          <w:szCs w:val="24"/>
          <w:lang w:val="uk-UA" w:eastAsia="ru-RU"/>
        </w:rPr>
        <w:t xml:space="preserve">, розроблено проект регуляторного </w:t>
      </w:r>
      <w:proofErr w:type="spellStart"/>
      <w:r w:rsidR="00F71234" w:rsidRPr="003479AB">
        <w:rPr>
          <w:color w:val="auto"/>
          <w:szCs w:val="24"/>
          <w:lang w:val="uk-UA" w:eastAsia="ru-RU"/>
        </w:rPr>
        <w:t>акта</w:t>
      </w:r>
      <w:proofErr w:type="spellEnd"/>
      <w:r w:rsidR="00F71234" w:rsidRPr="003479AB">
        <w:rPr>
          <w:color w:val="auto"/>
          <w:szCs w:val="24"/>
          <w:lang w:val="uk-UA" w:eastAsia="ru-RU"/>
        </w:rPr>
        <w:t xml:space="preserve"> – </w:t>
      </w:r>
      <w:r w:rsidRPr="003479AB">
        <w:rPr>
          <w:color w:val="auto"/>
          <w:szCs w:val="24"/>
          <w:lang w:val="uk-UA" w:eastAsia="ru-RU"/>
        </w:rPr>
        <w:t xml:space="preserve"> розпорядження керівника Авдіївської міської </w:t>
      </w:r>
      <w:r w:rsidRPr="003479AB">
        <w:rPr>
          <w:szCs w:val="24"/>
          <w:lang w:val="uk-UA" w:eastAsia="ru-RU"/>
        </w:rPr>
        <w:t xml:space="preserve">ВЦА </w:t>
      </w:r>
      <w:r w:rsidR="00F71234" w:rsidRPr="003479AB">
        <w:rPr>
          <w:color w:val="auto"/>
          <w:szCs w:val="24"/>
          <w:lang w:val="uk-UA" w:eastAsia="ru-RU"/>
        </w:rPr>
        <w:t>«Про встановлення ставок та пільг із сплати земельного податку</w:t>
      </w:r>
      <w:r w:rsidRPr="003479AB">
        <w:rPr>
          <w:color w:val="auto"/>
          <w:szCs w:val="24"/>
          <w:lang w:val="uk-UA" w:eastAsia="ru-RU"/>
        </w:rPr>
        <w:t xml:space="preserve"> на території Авдіївської міської територіальної громади</w:t>
      </w:r>
      <w:r w:rsidR="00F71234" w:rsidRPr="003479AB">
        <w:rPr>
          <w:color w:val="auto"/>
          <w:szCs w:val="24"/>
          <w:lang w:val="uk-UA" w:eastAsia="ru-RU"/>
        </w:rPr>
        <w:t>».</w:t>
      </w:r>
      <w:r w:rsidR="000B5AAC" w:rsidRPr="003479AB">
        <w:rPr>
          <w:color w:val="auto"/>
          <w:szCs w:val="24"/>
          <w:lang w:val="uk-UA" w:eastAsia="x-none"/>
        </w:rPr>
        <w:t xml:space="preserve"> </w:t>
      </w:r>
    </w:p>
    <w:p w:rsidR="00611A8F" w:rsidRPr="003479AB" w:rsidRDefault="000B5AAC" w:rsidP="003479AB">
      <w:pPr>
        <w:widowControl/>
        <w:suppressAutoHyphens w:val="0"/>
        <w:ind w:firstLine="720"/>
        <w:textAlignment w:val="auto"/>
        <w:rPr>
          <w:color w:val="auto"/>
          <w:szCs w:val="24"/>
          <w:lang w:val="uk-UA" w:eastAsia="ru-RU"/>
        </w:rPr>
      </w:pPr>
      <w:r w:rsidRPr="003479AB">
        <w:rPr>
          <w:color w:val="auto"/>
          <w:szCs w:val="24"/>
          <w:lang w:val="uk-UA" w:eastAsia="x-none"/>
        </w:rPr>
        <w:t>З метою безумовного викон</w:t>
      </w:r>
      <w:r w:rsidR="003479AB" w:rsidRPr="003479AB">
        <w:rPr>
          <w:color w:val="auto"/>
          <w:szCs w:val="24"/>
          <w:lang w:val="uk-UA" w:eastAsia="x-none"/>
        </w:rPr>
        <w:t>ання законодавства, недопущення</w:t>
      </w:r>
      <w:r w:rsidRPr="003479AB">
        <w:rPr>
          <w:color w:val="auto"/>
          <w:szCs w:val="24"/>
          <w:lang w:val="uk-UA" w:eastAsia="x-none"/>
        </w:rPr>
        <w:t xml:space="preserve"> суперечливих ситуацій Авдіївська міська ВЦА повинна прийняти розпорядження кері</w:t>
      </w:r>
      <w:r w:rsidR="003479AB" w:rsidRPr="003479AB">
        <w:rPr>
          <w:color w:val="auto"/>
          <w:szCs w:val="24"/>
          <w:lang w:val="uk-UA" w:eastAsia="x-none"/>
        </w:rPr>
        <w:t>в</w:t>
      </w:r>
      <w:r w:rsidRPr="003479AB">
        <w:rPr>
          <w:color w:val="auto"/>
          <w:szCs w:val="24"/>
          <w:lang w:val="uk-UA" w:eastAsia="x-none"/>
        </w:rPr>
        <w:t>ника «Про встановлення ставок та пільг із сплати земельного податку на території Авдіївської міської територіальної громади» за типовою формою з урахуванням статті 7 Податкового кодексу України.</w:t>
      </w:r>
    </w:p>
    <w:p w:rsidR="00611A8F" w:rsidRPr="003479AB" w:rsidRDefault="00611A8F" w:rsidP="003479AB">
      <w:pPr>
        <w:widowControl/>
        <w:suppressAutoHyphens w:val="0"/>
        <w:autoSpaceDE w:val="0"/>
        <w:autoSpaceDN w:val="0"/>
        <w:adjustRightInd w:val="0"/>
        <w:ind w:firstLine="720"/>
        <w:textAlignment w:val="auto"/>
        <w:rPr>
          <w:szCs w:val="24"/>
          <w:lang w:val="uk-UA" w:eastAsia="ru-RU"/>
        </w:rPr>
      </w:pPr>
      <w:r w:rsidRPr="003479AB">
        <w:rPr>
          <w:szCs w:val="24"/>
          <w:lang w:val="uk-UA" w:eastAsia="ru-RU"/>
        </w:rPr>
        <w:lastRenderedPageBreak/>
        <w:t xml:space="preserve">З прийняттям розпорядження керівника «Про встановлення ставок та пільг із сплати земельного податку на території Авдіївської </w:t>
      </w:r>
      <w:r w:rsidR="009D6106" w:rsidRPr="003479AB">
        <w:rPr>
          <w:szCs w:val="24"/>
          <w:lang w:val="uk-UA" w:eastAsia="ru-RU"/>
        </w:rPr>
        <w:t xml:space="preserve">міської </w:t>
      </w:r>
      <w:r w:rsidRPr="003479AB">
        <w:rPr>
          <w:szCs w:val="24"/>
          <w:lang w:val="uk-UA" w:eastAsia="ru-RU"/>
        </w:rPr>
        <w:t xml:space="preserve">територіальної громади», </w:t>
      </w:r>
      <w:r w:rsidR="009D6106" w:rsidRPr="003479AB">
        <w:rPr>
          <w:szCs w:val="24"/>
          <w:lang w:val="uk-UA" w:eastAsia="ru-RU"/>
        </w:rPr>
        <w:t xml:space="preserve">яке набуде чинності з наступного бюджетного періоду – з 01 січня 2022 року, </w:t>
      </w:r>
      <w:r w:rsidR="00714DDE" w:rsidRPr="003479AB">
        <w:rPr>
          <w:szCs w:val="24"/>
          <w:lang w:val="uk-UA" w:eastAsia="ru-RU"/>
        </w:rPr>
        <w:t xml:space="preserve">буде </w:t>
      </w:r>
      <w:r w:rsidR="009D6106" w:rsidRPr="003479AB">
        <w:rPr>
          <w:szCs w:val="24"/>
          <w:lang w:val="uk-UA" w:eastAsia="ru-RU"/>
        </w:rPr>
        <w:t>врегулювано</w:t>
      </w:r>
      <w:r w:rsidR="000B5AAC" w:rsidRPr="003479AB">
        <w:rPr>
          <w:szCs w:val="24"/>
          <w:lang w:val="uk-UA" w:eastAsia="ru-RU"/>
        </w:rPr>
        <w:t xml:space="preserve"> </w:t>
      </w:r>
      <w:r w:rsidR="00517E95" w:rsidRPr="003479AB">
        <w:rPr>
          <w:szCs w:val="24"/>
          <w:lang w:val="uk-UA" w:eastAsia="ru-RU"/>
        </w:rPr>
        <w:t>та</w:t>
      </w:r>
      <w:r w:rsidR="009D6106" w:rsidRPr="003479AB">
        <w:rPr>
          <w:szCs w:val="24"/>
          <w:lang w:val="uk-UA" w:eastAsia="ru-RU"/>
        </w:rPr>
        <w:t xml:space="preserve"> </w:t>
      </w:r>
      <w:r w:rsidR="000B5AAC" w:rsidRPr="003479AB">
        <w:rPr>
          <w:szCs w:val="24"/>
          <w:lang w:val="uk-UA" w:eastAsia="ru-RU"/>
        </w:rPr>
        <w:t xml:space="preserve">визначено розміри ставок </w:t>
      </w:r>
      <w:r w:rsidR="009D6106" w:rsidRPr="003479AB">
        <w:rPr>
          <w:szCs w:val="24"/>
          <w:lang w:val="uk-UA" w:eastAsia="ru-RU"/>
        </w:rPr>
        <w:t>земельного податку на території Авдіївської міської територіальної громади</w:t>
      </w:r>
      <w:r w:rsidR="000B5AAC" w:rsidRPr="003479AB">
        <w:rPr>
          <w:szCs w:val="24"/>
          <w:lang w:val="uk-UA" w:eastAsia="ru-RU"/>
        </w:rPr>
        <w:t>,</w:t>
      </w:r>
      <w:r w:rsidR="009D6106" w:rsidRPr="003479AB">
        <w:rPr>
          <w:szCs w:val="24"/>
          <w:lang w:val="uk-UA" w:eastAsia="ru-RU"/>
        </w:rPr>
        <w:t xml:space="preserve"> відповідно до Податкового кодексу</w:t>
      </w:r>
      <w:r w:rsidR="000B5AAC" w:rsidRPr="003479AB">
        <w:rPr>
          <w:szCs w:val="24"/>
          <w:lang w:val="uk-UA" w:eastAsia="ru-RU"/>
        </w:rPr>
        <w:t xml:space="preserve"> України</w:t>
      </w:r>
      <w:r w:rsidR="009D6106" w:rsidRPr="003479AB">
        <w:rPr>
          <w:szCs w:val="24"/>
          <w:lang w:val="uk-UA" w:eastAsia="ru-RU"/>
        </w:rPr>
        <w:t xml:space="preserve">, </w:t>
      </w:r>
      <w:r w:rsidR="000B5AAC" w:rsidRPr="003479AB">
        <w:rPr>
          <w:szCs w:val="24"/>
          <w:lang w:val="uk-UA" w:eastAsia="ru-RU"/>
        </w:rPr>
        <w:t xml:space="preserve">їх справляння та необхідне для </w:t>
      </w:r>
      <w:r w:rsidR="000B5AAC" w:rsidRPr="003479AB">
        <w:rPr>
          <w:bCs/>
          <w:iCs/>
          <w:szCs w:val="24"/>
          <w:lang w:val="uk-UA" w:eastAsia="ru-RU"/>
        </w:rPr>
        <w:t>надання</w:t>
      </w:r>
      <w:r w:rsidR="000B5AAC" w:rsidRPr="003479AB">
        <w:rPr>
          <w:szCs w:val="24"/>
          <w:lang w:val="uk-UA" w:eastAsia="ru-RU"/>
        </w:rPr>
        <w:t xml:space="preserve"> на законних підставах пільг</w:t>
      </w:r>
      <w:r w:rsidR="00F521CA" w:rsidRPr="003479AB">
        <w:rPr>
          <w:szCs w:val="24"/>
          <w:lang w:val="uk-UA" w:eastAsia="ru-RU"/>
        </w:rPr>
        <w:t xml:space="preserve"> зі</w:t>
      </w:r>
      <w:r w:rsidR="000B5AAC" w:rsidRPr="003479AB">
        <w:rPr>
          <w:szCs w:val="24"/>
          <w:lang w:val="uk-UA" w:eastAsia="ru-RU"/>
        </w:rPr>
        <w:t xml:space="preserve"> </w:t>
      </w:r>
      <w:r w:rsidR="00F521CA" w:rsidRPr="003479AB">
        <w:rPr>
          <w:szCs w:val="24"/>
          <w:lang w:val="uk-UA" w:eastAsia="ru-RU"/>
        </w:rPr>
        <w:t>с</w:t>
      </w:r>
      <w:r w:rsidR="000B5AAC" w:rsidRPr="003479AB">
        <w:rPr>
          <w:szCs w:val="24"/>
          <w:lang w:val="uk-UA" w:eastAsia="ru-RU"/>
        </w:rPr>
        <w:t xml:space="preserve">плати </w:t>
      </w:r>
      <w:r w:rsidR="00F521CA" w:rsidRPr="003479AB">
        <w:rPr>
          <w:szCs w:val="24"/>
          <w:lang w:val="uk-UA" w:eastAsia="ru-RU"/>
        </w:rPr>
        <w:t xml:space="preserve">земельного податку </w:t>
      </w:r>
      <w:r w:rsidR="000B5AAC" w:rsidRPr="003479AB">
        <w:rPr>
          <w:szCs w:val="24"/>
          <w:lang w:val="uk-UA" w:eastAsia="ru-RU"/>
        </w:rPr>
        <w:t>за земельні ділянки</w:t>
      </w:r>
      <w:r w:rsidR="00C00B6F">
        <w:rPr>
          <w:szCs w:val="24"/>
          <w:lang w:val="uk-UA" w:eastAsia="ru-RU"/>
        </w:rPr>
        <w:t>,</w:t>
      </w:r>
      <w:r w:rsidR="000B5AAC" w:rsidRPr="003479AB">
        <w:rPr>
          <w:szCs w:val="24"/>
          <w:lang w:val="uk-UA" w:eastAsia="ru-RU"/>
        </w:rPr>
        <w:t xml:space="preserve"> в тому числі сільськогосподарського призначення, власники або користувачі яких з незалежних від них причин позбавлені права їх використовувати.</w:t>
      </w:r>
      <w:r w:rsidR="00714DDE" w:rsidRPr="003479AB">
        <w:rPr>
          <w:szCs w:val="24"/>
          <w:lang w:val="uk-UA" w:eastAsia="ru-RU"/>
        </w:rPr>
        <w:t xml:space="preserve"> </w:t>
      </w:r>
    </w:p>
    <w:p w:rsidR="009D6106" w:rsidRDefault="009D6106" w:rsidP="003479AB">
      <w:pPr>
        <w:widowControl/>
        <w:suppressAutoHyphens w:val="0"/>
        <w:autoSpaceDE w:val="0"/>
        <w:autoSpaceDN w:val="0"/>
        <w:adjustRightInd w:val="0"/>
        <w:ind w:firstLine="720"/>
        <w:textAlignment w:val="auto"/>
        <w:rPr>
          <w:szCs w:val="24"/>
          <w:lang w:val="uk-UA" w:eastAsia="ru-RU"/>
        </w:rPr>
      </w:pPr>
      <w:r w:rsidRPr="003479AB">
        <w:rPr>
          <w:szCs w:val="24"/>
          <w:lang w:val="uk-UA" w:eastAsia="ru-RU"/>
        </w:rPr>
        <w:t xml:space="preserve">У разі неприйняття рішення, що є обов’язковим згідно Кодексу, плата </w:t>
      </w:r>
      <w:r w:rsidR="000B5AAC" w:rsidRPr="003479AB">
        <w:rPr>
          <w:szCs w:val="24"/>
          <w:lang w:val="uk-UA" w:eastAsia="ru-RU"/>
        </w:rPr>
        <w:t xml:space="preserve">за землю </w:t>
      </w:r>
      <w:r w:rsidR="003479AB">
        <w:rPr>
          <w:szCs w:val="24"/>
          <w:lang w:val="uk-UA" w:eastAsia="ru-RU"/>
        </w:rPr>
        <w:t>буде справлятися</w:t>
      </w:r>
      <w:r w:rsidRPr="003479AB">
        <w:rPr>
          <w:szCs w:val="24"/>
          <w:lang w:val="uk-UA" w:eastAsia="ru-RU"/>
        </w:rPr>
        <w:t xml:space="preserve"> </w:t>
      </w:r>
      <w:r w:rsidR="000B5AAC" w:rsidRPr="003479AB">
        <w:rPr>
          <w:szCs w:val="24"/>
          <w:lang w:val="uk-UA" w:eastAsia="ru-RU"/>
        </w:rPr>
        <w:t xml:space="preserve">із </w:t>
      </w:r>
      <w:r w:rsidRPr="003479AB">
        <w:rPr>
          <w:szCs w:val="24"/>
          <w:lang w:val="uk-UA" w:eastAsia="ru-RU"/>
        </w:rPr>
        <w:t>застосування</w:t>
      </w:r>
      <w:r w:rsidR="000B5AAC" w:rsidRPr="003479AB">
        <w:rPr>
          <w:szCs w:val="24"/>
          <w:lang w:val="uk-UA" w:eastAsia="ru-RU"/>
        </w:rPr>
        <w:t>м</w:t>
      </w:r>
      <w:r w:rsidRPr="003479AB">
        <w:rPr>
          <w:szCs w:val="24"/>
          <w:lang w:val="uk-UA" w:eastAsia="ru-RU"/>
        </w:rPr>
        <w:t xml:space="preserve"> ставок, які діяли до 31 грудня, що переду</w:t>
      </w:r>
      <w:r w:rsidR="003479AB">
        <w:rPr>
          <w:szCs w:val="24"/>
          <w:lang w:val="uk-UA" w:eastAsia="ru-RU"/>
        </w:rPr>
        <w:t>вав</w:t>
      </w:r>
      <w:r w:rsidRPr="003479AB">
        <w:rPr>
          <w:szCs w:val="24"/>
          <w:lang w:val="uk-UA" w:eastAsia="ru-RU"/>
        </w:rPr>
        <w:t xml:space="preserve"> бюджетному періоду, в якому плануєт</w:t>
      </w:r>
      <w:r w:rsidR="000B5AAC" w:rsidRPr="003479AB">
        <w:rPr>
          <w:szCs w:val="24"/>
          <w:lang w:val="uk-UA" w:eastAsia="ru-RU"/>
        </w:rPr>
        <w:t>ься застосування плати за землю,</w:t>
      </w:r>
      <w:r w:rsidR="00517E95" w:rsidRPr="003479AB">
        <w:rPr>
          <w:szCs w:val="24"/>
          <w:lang w:val="uk-UA" w:eastAsia="ru-RU"/>
        </w:rPr>
        <w:t xml:space="preserve"> а</w:t>
      </w:r>
      <w:r w:rsidR="000B5AAC" w:rsidRPr="003479AB">
        <w:rPr>
          <w:szCs w:val="24"/>
          <w:lang w:val="uk-UA" w:eastAsia="ru-RU"/>
        </w:rPr>
        <w:t xml:space="preserve"> землевласники та землекористувачі </w:t>
      </w:r>
      <w:r w:rsidR="00517E95" w:rsidRPr="003479AB">
        <w:rPr>
          <w:szCs w:val="24"/>
          <w:lang w:val="uk-UA" w:eastAsia="ru-RU"/>
        </w:rPr>
        <w:t>які</w:t>
      </w:r>
      <w:r w:rsidR="00517E95" w:rsidRPr="003479AB">
        <w:rPr>
          <w:color w:val="auto"/>
          <w:szCs w:val="24"/>
          <w:lang w:val="uk-UA" w:eastAsia="x-none"/>
        </w:rPr>
        <w:t xml:space="preserve"> </w:t>
      </w:r>
      <w:r w:rsidR="003479AB" w:rsidRPr="003479AB">
        <w:rPr>
          <w:color w:val="auto"/>
          <w:szCs w:val="24"/>
          <w:lang w:val="uk-UA" w:eastAsia="x-none"/>
        </w:rPr>
        <w:t xml:space="preserve">з </w:t>
      </w:r>
      <w:r w:rsidR="00517E95" w:rsidRPr="003479AB">
        <w:rPr>
          <w:szCs w:val="24"/>
          <w:lang w:val="uk-UA" w:eastAsia="ru-RU"/>
        </w:rPr>
        <w:t xml:space="preserve">незалежних від них причин </w:t>
      </w:r>
      <w:r w:rsidR="00517E95" w:rsidRPr="003479AB">
        <w:rPr>
          <w:color w:val="auto"/>
          <w:szCs w:val="24"/>
          <w:lang w:val="uk-UA" w:eastAsia="x-none"/>
        </w:rPr>
        <w:t xml:space="preserve">позбавлені можливості </w:t>
      </w:r>
      <w:r w:rsidR="00517E95" w:rsidRPr="003479AB">
        <w:rPr>
          <w:szCs w:val="24"/>
          <w:lang w:val="uk-UA" w:eastAsia="ru-RU"/>
        </w:rPr>
        <w:t>використовувати</w:t>
      </w:r>
      <w:r w:rsidR="00517E95" w:rsidRPr="003479AB">
        <w:rPr>
          <w:color w:val="auto"/>
          <w:szCs w:val="24"/>
          <w:lang w:val="uk-UA" w:eastAsia="x-none"/>
        </w:rPr>
        <w:t xml:space="preserve"> земельні ділянки</w:t>
      </w:r>
      <w:r w:rsidR="00517E95" w:rsidRPr="003479AB">
        <w:rPr>
          <w:szCs w:val="24"/>
          <w:lang w:val="uk-UA" w:eastAsia="ru-RU"/>
        </w:rPr>
        <w:t xml:space="preserve">, </w:t>
      </w:r>
      <w:r w:rsidR="00517E95" w:rsidRPr="003479AB">
        <w:rPr>
          <w:color w:val="auto"/>
          <w:szCs w:val="24"/>
          <w:lang w:val="uk-UA" w:eastAsia="x-none"/>
        </w:rPr>
        <w:t>обробляти та отримувати врожай</w:t>
      </w:r>
      <w:r w:rsidR="003479AB">
        <w:rPr>
          <w:color w:val="auto"/>
          <w:szCs w:val="24"/>
          <w:lang w:val="uk-UA" w:eastAsia="x-none"/>
        </w:rPr>
        <w:t>,</w:t>
      </w:r>
      <w:r w:rsidR="00517E95" w:rsidRPr="003479AB">
        <w:rPr>
          <w:color w:val="auto"/>
          <w:szCs w:val="24"/>
          <w:lang w:val="uk-UA" w:eastAsia="x-none"/>
        </w:rPr>
        <w:t xml:space="preserve"> </w:t>
      </w:r>
      <w:r w:rsidR="00517E95" w:rsidRPr="003479AB">
        <w:rPr>
          <w:szCs w:val="24"/>
          <w:lang w:val="uk-UA" w:eastAsia="ru-RU"/>
        </w:rPr>
        <w:t>будуть позбавлені можливості отримувати пільги щодо сплати земельного податку за земельні ділянки</w:t>
      </w:r>
      <w:r w:rsidR="003479AB">
        <w:rPr>
          <w:szCs w:val="24"/>
          <w:lang w:val="uk-UA" w:eastAsia="ru-RU"/>
        </w:rPr>
        <w:t>,</w:t>
      </w:r>
      <w:r w:rsidR="00517E95" w:rsidRPr="003479AB">
        <w:rPr>
          <w:szCs w:val="24"/>
          <w:lang w:val="uk-UA" w:eastAsia="ru-RU"/>
        </w:rPr>
        <w:t xml:space="preserve"> в тому числі сільськогосподарського призначення. </w:t>
      </w:r>
    </w:p>
    <w:p w:rsidR="00517E95" w:rsidRDefault="009D6106" w:rsidP="00C00B6F">
      <w:pPr>
        <w:pStyle w:val="aa"/>
        <w:spacing w:after="0" w:line="240" w:lineRule="auto"/>
        <w:ind w:firstLine="708"/>
        <w:jc w:val="both"/>
        <w:rPr>
          <w:sz w:val="24"/>
          <w:lang w:eastAsia="ru-RU"/>
        </w:rPr>
      </w:pPr>
      <w:r w:rsidRPr="003479AB">
        <w:rPr>
          <w:sz w:val="24"/>
          <w:lang w:eastAsia="ru-RU"/>
        </w:rPr>
        <w:t xml:space="preserve">Основні групи (підгрупи), на які проблема справляє вплив: </w:t>
      </w:r>
    </w:p>
    <w:p w:rsidR="003479AB" w:rsidRPr="003479AB" w:rsidRDefault="003479AB" w:rsidP="003479A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tbl>
      <w:tblPr>
        <w:tblW w:w="9662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9"/>
        <w:gridCol w:w="2824"/>
        <w:gridCol w:w="2459"/>
      </w:tblGrid>
      <w:tr w:rsidR="00517E95" w:rsidRPr="003479AB" w:rsidTr="006C415F"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Групи (підгрупи)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Ні</w:t>
            </w:r>
          </w:p>
        </w:tc>
      </w:tr>
      <w:tr w:rsidR="00517E95" w:rsidRPr="003479AB" w:rsidTr="006C415F">
        <w:trPr>
          <w:trHeight w:val="268"/>
        </w:trPr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ind w:left="283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Громадяни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+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517E95" w:rsidRPr="003479AB" w:rsidTr="006C415F"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ind w:left="283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Держава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+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517E95" w:rsidRPr="003479AB" w:rsidTr="006C415F"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ind w:left="283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Суб’єкти господарювання,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+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517E95" w:rsidRPr="003479AB" w:rsidTr="006C415F"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ind w:left="256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у тому числі суб’єкти малого підприємництва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+</w:t>
            </w:r>
          </w:p>
        </w:tc>
        <w:tc>
          <w:tcPr>
            <w:tcW w:w="2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E95" w:rsidRPr="003479AB" w:rsidRDefault="00517E95" w:rsidP="006C415F">
            <w:pPr>
              <w:pStyle w:val="a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3479AB" w:rsidRDefault="003479AB">
      <w:pPr>
        <w:ind w:firstLine="708"/>
        <w:rPr>
          <w:color w:val="auto"/>
          <w:szCs w:val="24"/>
          <w:lang w:val="uk-UA"/>
        </w:rPr>
      </w:pPr>
    </w:p>
    <w:p w:rsidR="00321D32" w:rsidRDefault="00F17D03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Вказана проблема не може бути розв’язана за </w:t>
      </w:r>
      <w:r w:rsidR="00321D32" w:rsidRPr="003479AB">
        <w:rPr>
          <w:color w:val="auto"/>
          <w:szCs w:val="24"/>
          <w:lang w:val="uk-UA"/>
        </w:rPr>
        <w:t>допомогою:</w:t>
      </w:r>
    </w:p>
    <w:p w:rsidR="00DF6E38" w:rsidRPr="003479AB" w:rsidRDefault="00321D32" w:rsidP="00321D32">
      <w:pPr>
        <w:pStyle w:val="af"/>
        <w:numPr>
          <w:ilvl w:val="0"/>
          <w:numId w:val="6"/>
        </w:numPr>
        <w:ind w:left="0"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 ринкових механізмів, </w:t>
      </w:r>
      <w:r w:rsidR="00F521CA" w:rsidRPr="003479AB">
        <w:rPr>
          <w:color w:val="auto"/>
          <w:szCs w:val="24"/>
          <w:lang w:val="uk-UA"/>
        </w:rPr>
        <w:t>оскільки такі питання регулюються виключно</w:t>
      </w:r>
      <w:r w:rsidRPr="003479AB">
        <w:rPr>
          <w:color w:val="auto"/>
          <w:szCs w:val="24"/>
          <w:lang w:val="uk-UA"/>
        </w:rPr>
        <w:t xml:space="preserve"> нормативно-правовими актами прийнятими Авдіївською міською ВЦА</w:t>
      </w:r>
      <w:r w:rsidR="00F17D03" w:rsidRPr="003479AB">
        <w:rPr>
          <w:color w:val="auto"/>
          <w:szCs w:val="24"/>
          <w:lang w:val="uk-UA"/>
        </w:rPr>
        <w:t>.</w:t>
      </w:r>
    </w:p>
    <w:p w:rsidR="00321D32" w:rsidRPr="003479AB" w:rsidRDefault="00321D32" w:rsidP="00321D32">
      <w:pPr>
        <w:pStyle w:val="af"/>
        <w:numPr>
          <w:ilvl w:val="0"/>
          <w:numId w:val="6"/>
        </w:numPr>
        <w:ind w:left="0"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діючих актів, оскільки ставки податку, та пільг</w:t>
      </w:r>
      <w:r w:rsidR="003479AB" w:rsidRPr="003479AB">
        <w:rPr>
          <w:color w:val="auto"/>
          <w:szCs w:val="24"/>
          <w:lang w:val="uk-UA"/>
        </w:rPr>
        <w:t>и з їх сплати</w:t>
      </w:r>
      <w:r w:rsidRPr="003479AB">
        <w:rPr>
          <w:color w:val="auto"/>
          <w:szCs w:val="24"/>
          <w:lang w:val="uk-UA"/>
        </w:rPr>
        <w:t xml:space="preserve"> визнач</w:t>
      </w:r>
      <w:r w:rsidR="003479AB" w:rsidRPr="003479AB">
        <w:rPr>
          <w:color w:val="auto"/>
          <w:szCs w:val="24"/>
          <w:lang w:val="uk-UA"/>
        </w:rPr>
        <w:t>ені розпорядженням керівника військово-цивільної адміністрації міста Авдіївка Донецької</w:t>
      </w:r>
      <w:r w:rsidR="003479AB">
        <w:rPr>
          <w:color w:val="auto"/>
          <w:szCs w:val="24"/>
          <w:lang w:val="uk-UA"/>
        </w:rPr>
        <w:t xml:space="preserve"> області </w:t>
      </w:r>
      <w:r w:rsidRPr="003479AB">
        <w:rPr>
          <w:color w:val="auto"/>
          <w:szCs w:val="24"/>
          <w:lang w:val="uk-UA"/>
        </w:rPr>
        <w:t>від</w:t>
      </w:r>
      <w:r w:rsidR="003479AB">
        <w:rPr>
          <w:color w:val="auto"/>
          <w:szCs w:val="24"/>
          <w:lang w:val="uk-UA"/>
        </w:rPr>
        <w:t xml:space="preserve"> </w:t>
      </w:r>
      <w:r w:rsidR="003479AB" w:rsidRPr="003479AB">
        <w:rPr>
          <w:color w:val="auto"/>
          <w:szCs w:val="24"/>
          <w:lang w:val="uk-UA"/>
        </w:rPr>
        <w:t xml:space="preserve">27.06.2018 № 467 «Про встановлення ставок та пільг із сплати земельного податку на території міста Авдіївка на 2019 рік» дія якого подовжувалася на 2020, 2021 роки, </w:t>
      </w:r>
      <w:r w:rsidRPr="003479AB">
        <w:rPr>
          <w:color w:val="auto"/>
          <w:szCs w:val="24"/>
          <w:lang w:val="uk-UA"/>
        </w:rPr>
        <w:t>застосовуються лише по місту Авдіївка</w:t>
      </w:r>
      <w:r w:rsidR="003479AB">
        <w:rPr>
          <w:color w:val="auto"/>
          <w:szCs w:val="24"/>
          <w:lang w:val="uk-UA"/>
        </w:rPr>
        <w:t xml:space="preserve"> та не охоплюють</w:t>
      </w:r>
      <w:r w:rsidR="00EE5535" w:rsidRPr="003479AB">
        <w:rPr>
          <w:color w:val="auto"/>
          <w:szCs w:val="24"/>
          <w:lang w:val="uk-UA"/>
        </w:rPr>
        <w:t xml:space="preserve"> всю територію громади</w:t>
      </w:r>
      <w:r w:rsidR="003479AB">
        <w:rPr>
          <w:color w:val="auto"/>
          <w:szCs w:val="24"/>
          <w:lang w:val="uk-UA"/>
        </w:rPr>
        <w:t xml:space="preserve"> та коло громадян та суб’єктів господарювання які можуть скористатися пільгою зі сплати цього податку</w:t>
      </w:r>
      <w:r w:rsidRPr="003479AB">
        <w:rPr>
          <w:color w:val="auto"/>
          <w:szCs w:val="24"/>
          <w:lang w:val="uk-UA"/>
        </w:rPr>
        <w:t xml:space="preserve">. </w:t>
      </w:r>
    </w:p>
    <w:p w:rsidR="00321D32" w:rsidRPr="003479AB" w:rsidRDefault="00321D32" w:rsidP="00EE5535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Ринкові механізми не можуть бути застосовані при адмініструванні податків. Доцільним є втручання держави шляхом делегування органам місцевого самоврядування повноважень з установлення ставок податку на майно в части</w:t>
      </w:r>
      <w:r w:rsidR="00EE5535" w:rsidRPr="003479AB">
        <w:rPr>
          <w:color w:val="auto"/>
          <w:szCs w:val="24"/>
          <w:lang w:val="uk-UA"/>
        </w:rPr>
        <w:t xml:space="preserve">ні плати за землю на території </w:t>
      </w:r>
      <w:r w:rsidRPr="003479AB">
        <w:rPr>
          <w:szCs w:val="24"/>
          <w:lang w:val="uk-UA" w:eastAsia="ru-RU"/>
        </w:rPr>
        <w:t>Авдіївської міської територіальної громади</w:t>
      </w:r>
      <w:r w:rsidRPr="003479AB">
        <w:rPr>
          <w:color w:val="auto"/>
          <w:szCs w:val="24"/>
          <w:lang w:val="uk-UA"/>
        </w:rPr>
        <w:t xml:space="preserve"> та надання обґрунтованих додаткових пільг з його сплати певним категоріям землекористувачів, як це визначено Податковим кодексом України. </w:t>
      </w:r>
    </w:p>
    <w:p w:rsidR="00321D32" w:rsidRPr="003479AB" w:rsidRDefault="003479AB" w:rsidP="00321D32">
      <w:pPr>
        <w:ind w:firstLine="708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Отже, в</w:t>
      </w:r>
      <w:r w:rsidR="00321D32" w:rsidRPr="003479AB">
        <w:rPr>
          <w:color w:val="auto"/>
          <w:szCs w:val="24"/>
          <w:lang w:val="uk-UA"/>
        </w:rPr>
        <w:t xml:space="preserve">становлення ставок та пільг з плати за землю можливе лише шляхом прийняття нормативно-правового акту – розпорядження </w:t>
      </w:r>
      <w:r w:rsidR="00321D32" w:rsidRPr="003479AB">
        <w:rPr>
          <w:color w:val="00000A"/>
          <w:szCs w:val="24"/>
          <w:lang w:val="uk-UA"/>
        </w:rPr>
        <w:t xml:space="preserve">керівника Авдіївської міської військово-цивільної адміністрації Покровського району Донецької області «Про встановлення ставок та пільг із сплати земельного податку на території </w:t>
      </w:r>
      <w:r w:rsidR="00321D32" w:rsidRPr="003479AB">
        <w:rPr>
          <w:bCs/>
          <w:szCs w:val="24"/>
          <w:lang w:val="uk-UA" w:eastAsia="ru-RU"/>
        </w:rPr>
        <w:t>Авдіївської територіальної громади</w:t>
      </w:r>
      <w:r w:rsidR="00321D32" w:rsidRPr="003479AB">
        <w:rPr>
          <w:color w:val="00000A"/>
          <w:szCs w:val="24"/>
          <w:lang w:val="uk-UA"/>
        </w:rPr>
        <w:t>».</w:t>
      </w:r>
      <w:r w:rsidR="00321D32" w:rsidRPr="003479AB">
        <w:rPr>
          <w:color w:val="auto"/>
          <w:szCs w:val="24"/>
          <w:lang w:val="uk-UA"/>
        </w:rPr>
        <w:t xml:space="preserve"> </w:t>
      </w:r>
    </w:p>
    <w:p w:rsidR="00DF6E38" w:rsidRPr="003479AB" w:rsidRDefault="00F17D03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Важливість прийняття цього нормативно-правового акту полягає в тому, що він упорядкує</w:t>
      </w:r>
      <w:r w:rsidR="0059148F" w:rsidRPr="003479AB">
        <w:rPr>
          <w:color w:val="auto"/>
          <w:szCs w:val="24"/>
          <w:lang w:val="uk-UA"/>
        </w:rPr>
        <w:t xml:space="preserve"> оподаткування земель</w:t>
      </w:r>
      <w:r w:rsidRPr="003479AB">
        <w:rPr>
          <w:color w:val="auto"/>
          <w:szCs w:val="24"/>
          <w:lang w:val="uk-UA"/>
        </w:rPr>
        <w:t xml:space="preserve"> </w:t>
      </w:r>
      <w:r w:rsidR="0059148F" w:rsidRPr="003479AB">
        <w:rPr>
          <w:color w:val="auto"/>
          <w:szCs w:val="24"/>
          <w:lang w:val="uk-UA"/>
        </w:rPr>
        <w:t xml:space="preserve">та надання пільг зі сплати земельного податку </w:t>
      </w:r>
      <w:r w:rsidRPr="003479AB">
        <w:rPr>
          <w:color w:val="auto"/>
          <w:szCs w:val="24"/>
          <w:lang w:val="uk-UA"/>
        </w:rPr>
        <w:t>на території Авдіївської міської територіальної громади</w:t>
      </w:r>
      <w:r w:rsidR="0059148F" w:rsidRPr="003479AB">
        <w:rPr>
          <w:color w:val="auto"/>
          <w:szCs w:val="24"/>
          <w:lang w:val="uk-UA"/>
        </w:rPr>
        <w:t>,</w:t>
      </w:r>
      <w:r w:rsidRPr="003479AB">
        <w:rPr>
          <w:color w:val="auto"/>
          <w:szCs w:val="24"/>
          <w:lang w:val="uk-UA"/>
        </w:rPr>
        <w:t xml:space="preserve"> забезпечує баланс інтересів усіх сторін – суб’єктів господарювання, населення, та органів влади, а також сприяє наповненню </w:t>
      </w:r>
      <w:r w:rsidRPr="003479AB">
        <w:rPr>
          <w:szCs w:val="24"/>
          <w:lang w:val="uk-UA"/>
        </w:rPr>
        <w:t>дохідної</w:t>
      </w:r>
      <w:r w:rsidRPr="003479AB">
        <w:rPr>
          <w:color w:val="auto"/>
          <w:szCs w:val="24"/>
          <w:lang w:val="uk-UA"/>
        </w:rPr>
        <w:t xml:space="preserve"> частини бюджету Авдіївської міської територіальної громади. З метою уникнення податкового навантаження визначено оптимальні ставки земельного податку, які б забезпечували стабільні і достатні надходження до бюджету громади та не шкодило б підприємницькій діяльності.</w:t>
      </w:r>
    </w:p>
    <w:p w:rsidR="0059148F" w:rsidRPr="003479AB" w:rsidRDefault="0059148F" w:rsidP="000B5AAC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</w:p>
    <w:p w:rsidR="00DF6E38" w:rsidRDefault="00F17D03" w:rsidP="003479AB">
      <w:pPr>
        <w:ind w:firstLine="708"/>
        <w:jc w:val="center"/>
        <w:rPr>
          <w:b/>
          <w:bCs/>
          <w:caps/>
          <w:color w:val="auto"/>
          <w:szCs w:val="24"/>
          <w:lang w:val="uk-UA"/>
        </w:rPr>
      </w:pPr>
      <w:r w:rsidRPr="003479AB">
        <w:rPr>
          <w:b/>
          <w:bCs/>
          <w:color w:val="auto"/>
          <w:szCs w:val="24"/>
          <w:lang w:val="uk-UA"/>
        </w:rPr>
        <w:lastRenderedPageBreak/>
        <w:t xml:space="preserve">II. </w:t>
      </w:r>
      <w:r w:rsidRPr="003479AB">
        <w:rPr>
          <w:b/>
          <w:bCs/>
          <w:caps/>
          <w:color w:val="auto"/>
          <w:szCs w:val="24"/>
          <w:lang w:val="uk-UA"/>
        </w:rPr>
        <w:t>Цілі державного регулювання</w:t>
      </w:r>
    </w:p>
    <w:p w:rsidR="003479AB" w:rsidRPr="003479AB" w:rsidRDefault="003479AB" w:rsidP="00C00B6F">
      <w:pPr>
        <w:ind w:firstLine="708"/>
        <w:rPr>
          <w:b/>
          <w:bCs/>
          <w:color w:val="auto"/>
          <w:szCs w:val="24"/>
          <w:lang w:val="uk-UA"/>
        </w:rPr>
      </w:pPr>
    </w:p>
    <w:p w:rsidR="00DF6E38" w:rsidRPr="003479AB" w:rsidRDefault="00F17D03" w:rsidP="00C00B6F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Основними цілями державного регулювання є:</w:t>
      </w:r>
    </w:p>
    <w:p w:rsidR="00C00B6F" w:rsidRDefault="003479AB" w:rsidP="00C00B6F">
      <w:pPr>
        <w:numPr>
          <w:ilvl w:val="0"/>
          <w:numId w:val="3"/>
        </w:num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п</w:t>
      </w:r>
      <w:r w:rsidR="00F17D03" w:rsidRPr="003479AB">
        <w:rPr>
          <w:color w:val="auto"/>
          <w:szCs w:val="24"/>
          <w:lang w:val="uk-UA"/>
        </w:rPr>
        <w:t xml:space="preserve">риведення </w:t>
      </w:r>
      <w:r w:rsidR="00C00B6F">
        <w:rPr>
          <w:color w:val="auto"/>
          <w:szCs w:val="24"/>
          <w:lang w:val="uk-UA"/>
        </w:rPr>
        <w:t xml:space="preserve">прийнятих нормативно-правових актів </w:t>
      </w:r>
      <w:r w:rsidR="00F17D03" w:rsidRPr="003479AB">
        <w:rPr>
          <w:color w:val="auto"/>
          <w:szCs w:val="24"/>
          <w:lang w:val="uk-UA"/>
        </w:rPr>
        <w:t>у відповідні</w:t>
      </w:r>
      <w:r w:rsidR="00C00B6F">
        <w:rPr>
          <w:color w:val="auto"/>
          <w:szCs w:val="24"/>
          <w:lang w:val="uk-UA"/>
        </w:rPr>
        <w:t>сть до норм</w:t>
      </w:r>
    </w:p>
    <w:p w:rsidR="00DF6E38" w:rsidRPr="003479AB" w:rsidRDefault="003479AB" w:rsidP="00C00B6F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Податкового кодексу </w:t>
      </w:r>
      <w:r w:rsidR="00F17D03" w:rsidRPr="003479AB">
        <w:rPr>
          <w:color w:val="auto"/>
          <w:szCs w:val="24"/>
          <w:lang w:val="uk-UA"/>
        </w:rPr>
        <w:t>України</w:t>
      </w:r>
      <w:r w:rsidRPr="003479AB">
        <w:rPr>
          <w:color w:val="auto"/>
          <w:szCs w:val="24"/>
          <w:lang w:val="uk-UA"/>
        </w:rPr>
        <w:t>;</w:t>
      </w:r>
    </w:p>
    <w:p w:rsidR="003479AB" w:rsidRPr="003479AB" w:rsidRDefault="00F17D03" w:rsidP="00C00B6F">
      <w:pPr>
        <w:numPr>
          <w:ilvl w:val="0"/>
          <w:numId w:val="3"/>
        </w:num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врегулювання правовідносин між Авдіївсь</w:t>
      </w:r>
      <w:r w:rsidR="003479AB" w:rsidRPr="003479AB">
        <w:rPr>
          <w:color w:val="auto"/>
          <w:szCs w:val="24"/>
          <w:lang w:val="uk-UA"/>
        </w:rPr>
        <w:t>кою міською ВЦА та платниками плати за</w:t>
      </w:r>
    </w:p>
    <w:p w:rsidR="00DF6E38" w:rsidRPr="003479AB" w:rsidRDefault="00F17D03" w:rsidP="00C00B6F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землю (власниками земельних ділянок та земельних</w:t>
      </w:r>
      <w:r w:rsidR="007C3115" w:rsidRPr="003479AB">
        <w:rPr>
          <w:color w:val="auto"/>
          <w:szCs w:val="24"/>
          <w:lang w:val="uk-UA"/>
        </w:rPr>
        <w:t xml:space="preserve"> часток (паїв) а також постійними землекористувачами</w:t>
      </w:r>
      <w:r w:rsidRPr="003479AB">
        <w:rPr>
          <w:color w:val="auto"/>
          <w:szCs w:val="24"/>
          <w:lang w:val="uk-UA"/>
        </w:rPr>
        <w:t>);</w:t>
      </w:r>
    </w:p>
    <w:p w:rsidR="003479AB" w:rsidRPr="003479AB" w:rsidRDefault="00F17D03" w:rsidP="00C00B6F">
      <w:pPr>
        <w:numPr>
          <w:ilvl w:val="0"/>
          <w:numId w:val="3"/>
        </w:num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встановлення доцільних і обґрунтованих розмі</w:t>
      </w:r>
      <w:r w:rsidR="003479AB" w:rsidRPr="003479AB">
        <w:rPr>
          <w:color w:val="auto"/>
          <w:szCs w:val="24"/>
          <w:lang w:val="uk-UA"/>
        </w:rPr>
        <w:t>рів ставок земельного податку з</w:t>
      </w:r>
    </w:p>
    <w:p w:rsidR="00DF6E38" w:rsidRPr="003479AB" w:rsidRDefault="00F17D03" w:rsidP="00C00B6F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урахуванням платоспроможності суб’єктів господарювання;</w:t>
      </w:r>
    </w:p>
    <w:p w:rsidR="003479AB" w:rsidRPr="003479AB" w:rsidRDefault="00F17D03" w:rsidP="00C00B6F">
      <w:pPr>
        <w:numPr>
          <w:ilvl w:val="0"/>
          <w:numId w:val="3"/>
        </w:num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встановлення пільг зі сплати земельного податку</w:t>
      </w:r>
      <w:r w:rsidR="003479AB" w:rsidRPr="003479AB">
        <w:rPr>
          <w:color w:val="auto"/>
          <w:szCs w:val="24"/>
          <w:lang w:val="uk-UA"/>
        </w:rPr>
        <w:t xml:space="preserve"> в тому числі землевласникам та</w:t>
      </w:r>
    </w:p>
    <w:p w:rsidR="00DF6E38" w:rsidRPr="003479AB" w:rsidRDefault="003479AB" w:rsidP="00C00B6F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землекористувачам які з незалежних від них причин позбавлені права використовувати свої земельні ділянки</w:t>
      </w:r>
      <w:r w:rsidR="00F17D03" w:rsidRPr="003479AB">
        <w:rPr>
          <w:color w:val="auto"/>
          <w:szCs w:val="24"/>
          <w:lang w:val="uk-UA"/>
        </w:rPr>
        <w:t>;</w:t>
      </w:r>
    </w:p>
    <w:p w:rsidR="003479AB" w:rsidRPr="003479AB" w:rsidRDefault="00F17D03" w:rsidP="00C00B6F">
      <w:pPr>
        <w:numPr>
          <w:ilvl w:val="0"/>
          <w:numId w:val="3"/>
        </w:num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здійснення планування та прогнозування на</w:t>
      </w:r>
      <w:r w:rsidR="003479AB" w:rsidRPr="003479AB">
        <w:rPr>
          <w:color w:val="auto"/>
          <w:szCs w:val="24"/>
          <w:lang w:val="uk-UA"/>
        </w:rPr>
        <w:t>дходжень від земельного податку</w:t>
      </w:r>
    </w:p>
    <w:p w:rsidR="00DF6E38" w:rsidRPr="003479AB" w:rsidRDefault="00F17D03" w:rsidP="00C00B6F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при формуванні бюджету;</w:t>
      </w:r>
    </w:p>
    <w:p w:rsidR="003479AB" w:rsidRPr="003479AB" w:rsidRDefault="00F17D03" w:rsidP="00C00B6F">
      <w:pPr>
        <w:numPr>
          <w:ilvl w:val="0"/>
          <w:numId w:val="3"/>
        </w:numPr>
        <w:tabs>
          <w:tab w:val="clear" w:pos="720"/>
        </w:tabs>
        <w:ind w:left="0" w:firstLine="360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забезпечення відкритості процедури та про</w:t>
      </w:r>
      <w:r w:rsidR="003479AB" w:rsidRPr="003479AB">
        <w:rPr>
          <w:color w:val="auto"/>
          <w:szCs w:val="24"/>
          <w:lang w:val="uk-UA"/>
        </w:rPr>
        <w:t>зорості дій Авдіївської міської ВЦА</w:t>
      </w:r>
      <w:r w:rsidR="00C00B6F">
        <w:rPr>
          <w:color w:val="auto"/>
          <w:szCs w:val="24"/>
          <w:lang w:val="uk-UA"/>
        </w:rPr>
        <w:t>.</w:t>
      </w:r>
    </w:p>
    <w:p w:rsidR="00796DEF" w:rsidRPr="003479AB" w:rsidRDefault="00796DEF" w:rsidP="00C00B6F">
      <w:pPr>
        <w:ind w:firstLine="360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Вимірювальними індикаторами досягнення цілей регулювання та зменшення масштабів проблеми є:</w:t>
      </w:r>
    </w:p>
    <w:p w:rsidR="00796DEF" w:rsidRPr="003479AB" w:rsidRDefault="00796DEF" w:rsidP="00C00B6F">
      <w:pPr>
        <w:pStyle w:val="af"/>
        <w:ind w:left="0"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- кількісні: надходження коштів до бюджету Авдіївської міс</w:t>
      </w:r>
      <w:r w:rsidR="00EE5535" w:rsidRPr="003479AB">
        <w:rPr>
          <w:color w:val="auto"/>
          <w:szCs w:val="24"/>
          <w:lang w:val="uk-UA"/>
        </w:rPr>
        <w:t xml:space="preserve">ької ВЦА від плати </w:t>
      </w:r>
      <w:r w:rsidRPr="003479AB">
        <w:rPr>
          <w:color w:val="auto"/>
          <w:szCs w:val="24"/>
          <w:lang w:val="uk-UA"/>
        </w:rPr>
        <w:t>за</w:t>
      </w:r>
      <w:r w:rsidR="00EE5535" w:rsidRPr="003479AB">
        <w:rPr>
          <w:color w:val="auto"/>
          <w:szCs w:val="24"/>
          <w:lang w:val="uk-UA"/>
        </w:rPr>
        <w:t xml:space="preserve"> </w:t>
      </w:r>
      <w:r w:rsidRPr="003479AB">
        <w:rPr>
          <w:color w:val="auto"/>
          <w:szCs w:val="24"/>
          <w:lang w:val="uk-UA"/>
        </w:rPr>
        <w:t xml:space="preserve">землю у </w:t>
      </w:r>
      <w:r w:rsidRPr="004604E2">
        <w:rPr>
          <w:color w:val="auto"/>
          <w:szCs w:val="24"/>
          <w:lang w:val="uk-UA"/>
        </w:rPr>
        <w:t xml:space="preserve">розмірі </w:t>
      </w:r>
      <w:r w:rsidR="004604E2" w:rsidRPr="00456D4B">
        <w:rPr>
          <w:color w:val="auto"/>
          <w:szCs w:val="24"/>
          <w:lang w:val="uk-UA"/>
        </w:rPr>
        <w:t>995</w:t>
      </w:r>
      <w:r w:rsidR="003479AB" w:rsidRPr="00456D4B">
        <w:rPr>
          <w:color w:val="auto"/>
          <w:szCs w:val="24"/>
          <w:lang w:val="uk-UA"/>
        </w:rPr>
        <w:t>,00</w:t>
      </w:r>
      <w:r w:rsidRPr="004604E2">
        <w:rPr>
          <w:color w:val="auto"/>
          <w:szCs w:val="24"/>
          <w:lang w:val="uk-UA"/>
        </w:rPr>
        <w:t xml:space="preserve"> грн. та чисельність платників податку, на яких поширюватиметься регуляторний акт –</w:t>
      </w:r>
      <w:r w:rsidR="00373874" w:rsidRPr="004604E2">
        <w:rPr>
          <w:color w:val="auto"/>
          <w:szCs w:val="24"/>
          <w:lang w:val="uk-UA"/>
        </w:rPr>
        <w:t xml:space="preserve"> </w:t>
      </w:r>
      <w:r w:rsidR="003479AB" w:rsidRPr="004604E2">
        <w:rPr>
          <w:color w:val="auto"/>
          <w:szCs w:val="24"/>
          <w:lang w:val="uk-UA"/>
        </w:rPr>
        <w:t>95</w:t>
      </w:r>
      <w:r w:rsidRPr="004604E2">
        <w:rPr>
          <w:color w:val="auto"/>
          <w:szCs w:val="24"/>
          <w:lang w:val="uk-UA"/>
        </w:rPr>
        <w:t xml:space="preserve"> осіб;</w:t>
      </w:r>
    </w:p>
    <w:p w:rsidR="00796DEF" w:rsidRPr="003479AB" w:rsidRDefault="00796DEF" w:rsidP="00C00B6F">
      <w:pPr>
        <w:pStyle w:val="af"/>
        <w:ind w:left="0"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- часовий: дія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 – безстроково. Регуляторний акт може бути</w:t>
      </w:r>
      <w:r w:rsidR="003479AB" w:rsidRPr="003479AB">
        <w:rPr>
          <w:color w:val="auto"/>
          <w:szCs w:val="24"/>
          <w:lang w:val="uk-UA"/>
        </w:rPr>
        <w:t xml:space="preserve"> </w:t>
      </w:r>
      <w:r w:rsidRPr="003479AB">
        <w:rPr>
          <w:color w:val="auto"/>
          <w:szCs w:val="24"/>
          <w:lang w:val="uk-UA"/>
        </w:rPr>
        <w:t>скасований або в нього внесені зміни в разі зміни чинного законодавства України та за</w:t>
      </w:r>
      <w:r w:rsidR="003479AB" w:rsidRPr="003479AB">
        <w:rPr>
          <w:color w:val="auto"/>
          <w:szCs w:val="24"/>
          <w:lang w:val="uk-UA"/>
        </w:rPr>
        <w:t xml:space="preserve"> </w:t>
      </w:r>
      <w:r w:rsidRPr="003479AB">
        <w:rPr>
          <w:color w:val="auto"/>
          <w:szCs w:val="24"/>
          <w:lang w:val="uk-UA"/>
        </w:rPr>
        <w:t>підсумками аналізу відстеження його результативності;</w:t>
      </w:r>
    </w:p>
    <w:p w:rsidR="002C3AA4" w:rsidRPr="003479AB" w:rsidRDefault="00796DEF" w:rsidP="00C00B6F">
      <w:pPr>
        <w:pStyle w:val="af"/>
        <w:numPr>
          <w:ilvl w:val="0"/>
          <w:numId w:val="6"/>
        </w:numPr>
        <w:ind w:left="0"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якісний: забезпечення виконання міськи</w:t>
      </w:r>
      <w:r w:rsidR="002C3AA4" w:rsidRPr="003479AB">
        <w:rPr>
          <w:color w:val="auto"/>
          <w:szCs w:val="24"/>
          <w:lang w:val="uk-UA"/>
        </w:rPr>
        <w:t>х цільових програм: соціальних,</w:t>
      </w:r>
      <w:r w:rsidR="003479AB" w:rsidRPr="003479AB">
        <w:rPr>
          <w:color w:val="auto"/>
          <w:szCs w:val="24"/>
          <w:lang w:val="uk-UA"/>
        </w:rPr>
        <w:t xml:space="preserve"> економічних</w:t>
      </w:r>
      <w:r w:rsidRPr="003479AB">
        <w:rPr>
          <w:color w:val="auto"/>
          <w:szCs w:val="24"/>
          <w:lang w:val="uk-UA"/>
        </w:rPr>
        <w:t>,</w:t>
      </w:r>
      <w:r w:rsidR="002C3AA4" w:rsidRPr="003479AB">
        <w:rPr>
          <w:color w:val="auto"/>
          <w:szCs w:val="24"/>
          <w:lang w:val="uk-UA"/>
        </w:rPr>
        <w:t xml:space="preserve"> </w:t>
      </w:r>
      <w:r w:rsidRPr="003479AB">
        <w:rPr>
          <w:color w:val="auto"/>
          <w:szCs w:val="24"/>
          <w:lang w:val="uk-UA"/>
        </w:rPr>
        <w:t>екологічних, розвитку підприємництва, електронного врядування, у сфері адміністративних</w:t>
      </w:r>
      <w:r w:rsidR="002C3AA4" w:rsidRPr="003479AB">
        <w:rPr>
          <w:color w:val="auto"/>
          <w:szCs w:val="24"/>
          <w:lang w:val="uk-UA"/>
        </w:rPr>
        <w:t xml:space="preserve"> </w:t>
      </w:r>
      <w:r w:rsidRPr="003479AB">
        <w:rPr>
          <w:color w:val="auto"/>
          <w:szCs w:val="24"/>
          <w:lang w:val="uk-UA"/>
        </w:rPr>
        <w:t>послуг тощо, фінансування бюджетної сфери в галузях освіти, охорони здоров’я, соціального</w:t>
      </w:r>
      <w:r w:rsidR="002C3AA4" w:rsidRPr="003479AB">
        <w:rPr>
          <w:color w:val="auto"/>
          <w:szCs w:val="24"/>
          <w:lang w:val="uk-UA"/>
        </w:rPr>
        <w:t xml:space="preserve"> </w:t>
      </w:r>
      <w:r w:rsidRPr="003479AB">
        <w:rPr>
          <w:bCs/>
          <w:color w:val="auto"/>
          <w:szCs w:val="24"/>
          <w:lang w:val="uk-UA"/>
        </w:rPr>
        <w:t>захисту, житлово-комунального та дорожнього господарства, транспорту тощо.</w:t>
      </w:r>
    </w:p>
    <w:p w:rsidR="002C3AA4" w:rsidRPr="003479AB" w:rsidRDefault="002C3AA4" w:rsidP="00C00B6F">
      <w:pPr>
        <w:rPr>
          <w:bCs/>
          <w:color w:val="auto"/>
          <w:szCs w:val="24"/>
          <w:lang w:val="uk-UA"/>
        </w:rPr>
      </w:pPr>
    </w:p>
    <w:p w:rsidR="00DF6E38" w:rsidRPr="003479AB" w:rsidRDefault="00F17D03" w:rsidP="003479AB">
      <w:pPr>
        <w:jc w:val="center"/>
        <w:rPr>
          <w:b/>
          <w:color w:val="auto"/>
          <w:szCs w:val="24"/>
          <w:lang w:val="uk-UA"/>
        </w:rPr>
      </w:pPr>
      <w:r w:rsidRPr="003479AB">
        <w:rPr>
          <w:b/>
          <w:bCs/>
          <w:color w:val="auto"/>
          <w:szCs w:val="24"/>
          <w:lang w:val="uk-UA"/>
        </w:rPr>
        <w:t xml:space="preserve">III. </w:t>
      </w:r>
      <w:r w:rsidRPr="003479AB">
        <w:rPr>
          <w:b/>
          <w:bCs/>
          <w:caps/>
          <w:color w:val="auto"/>
          <w:szCs w:val="24"/>
          <w:lang w:val="uk-UA"/>
        </w:rPr>
        <w:t>Визначення та оцінка альтернативних способів досягнення цілей</w:t>
      </w:r>
    </w:p>
    <w:p w:rsidR="002C3AA4" w:rsidRPr="003479AB" w:rsidRDefault="002C3AA4" w:rsidP="003479AB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3479AB">
        <w:rPr>
          <w:rFonts w:ascii="Times New Roman" w:eastAsia="Times New Roman" w:hAnsi="Times New Roman" w:cs="Times New Roman"/>
          <w:color w:val="auto"/>
          <w:sz w:val="24"/>
          <w:lang w:bidi="ar-SA"/>
        </w:rPr>
        <w:t>1. Визначення альтернативних способів</w:t>
      </w:r>
    </w:p>
    <w:p w:rsidR="002C3AA4" w:rsidRDefault="002C3AA4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У ході пошуку альтернативних способів досягнення цілей для проведення оцінки розглядається (розробником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) як перша альтернатива прийняття даного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 (далі – Альтернатива 1)</w:t>
      </w:r>
      <w:r w:rsidR="003479AB" w:rsidRPr="003479AB">
        <w:rPr>
          <w:color w:val="auto"/>
          <w:szCs w:val="24"/>
          <w:lang w:val="uk-UA"/>
        </w:rPr>
        <w:t>,</w:t>
      </w:r>
      <w:r w:rsidRPr="003479AB">
        <w:rPr>
          <w:color w:val="auto"/>
          <w:szCs w:val="24"/>
          <w:lang w:val="uk-UA"/>
        </w:rPr>
        <w:t xml:space="preserve"> другою альтернативою є неприйняття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 (далі –Альтернатива 2)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941B6" w:rsidRPr="003479AB" w:rsidTr="00D941B6">
        <w:trPr>
          <w:trHeight w:val="389"/>
        </w:trPr>
        <w:tc>
          <w:tcPr>
            <w:tcW w:w="1980" w:type="dxa"/>
          </w:tcPr>
          <w:p w:rsidR="00D941B6" w:rsidRPr="003479AB" w:rsidRDefault="00D941B6" w:rsidP="002C3AA4">
            <w:pPr>
              <w:pStyle w:val="aa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Вид альтернативи</w:t>
            </w:r>
          </w:p>
        </w:tc>
        <w:tc>
          <w:tcPr>
            <w:tcW w:w="7648" w:type="dxa"/>
          </w:tcPr>
          <w:p w:rsidR="00D941B6" w:rsidRPr="003479AB" w:rsidRDefault="00D941B6" w:rsidP="00D941B6">
            <w:pPr>
              <w:pStyle w:val="aa"/>
              <w:ind w:firstLine="7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Опис альтернативи</w:t>
            </w:r>
          </w:p>
        </w:tc>
      </w:tr>
      <w:tr w:rsidR="00D941B6" w:rsidRPr="003479AB" w:rsidTr="00D941B6">
        <w:tc>
          <w:tcPr>
            <w:tcW w:w="1980" w:type="dxa"/>
          </w:tcPr>
          <w:p w:rsidR="00D941B6" w:rsidRPr="003479AB" w:rsidRDefault="00D941B6" w:rsidP="002C3AA4">
            <w:pPr>
              <w:pStyle w:val="aa"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>Альтернатива 1</w:t>
            </w:r>
          </w:p>
        </w:tc>
        <w:tc>
          <w:tcPr>
            <w:tcW w:w="7648" w:type="dxa"/>
          </w:tcPr>
          <w:p w:rsidR="000E39A9" w:rsidRPr="003479AB" w:rsidRDefault="00D941B6" w:rsidP="000E39A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szCs w:val="24"/>
                <w:lang w:val="uk-UA" w:eastAsia="ru-RU"/>
              </w:rPr>
            </w:pPr>
            <w:r w:rsidRPr="003479AB">
              <w:rPr>
                <w:szCs w:val="24"/>
                <w:lang w:val="uk-UA" w:eastAsia="ru-RU"/>
              </w:rPr>
              <w:t>Дана альтернатива є найбільш прийнятною, так як враховує вимоги Податкового кодексів України, що є особливо акт</w:t>
            </w:r>
            <w:r w:rsidR="006C415F" w:rsidRPr="003479AB">
              <w:rPr>
                <w:szCs w:val="24"/>
                <w:lang w:val="uk-UA" w:eastAsia="ru-RU"/>
              </w:rPr>
              <w:t>у</w:t>
            </w:r>
            <w:r w:rsidRPr="003479AB">
              <w:rPr>
                <w:szCs w:val="24"/>
                <w:lang w:val="uk-UA" w:eastAsia="ru-RU"/>
              </w:rPr>
              <w:t>альним та важливим питанням, дозволить забезпечит</w:t>
            </w:r>
            <w:r w:rsidR="000E39A9" w:rsidRPr="003479AB">
              <w:rPr>
                <w:szCs w:val="24"/>
                <w:lang w:val="uk-UA" w:eastAsia="ru-RU"/>
              </w:rPr>
              <w:t xml:space="preserve">и стабільні </w:t>
            </w:r>
            <w:r w:rsidRPr="003479AB">
              <w:rPr>
                <w:szCs w:val="24"/>
                <w:lang w:val="uk-UA" w:eastAsia="ru-RU"/>
              </w:rPr>
              <w:t>надходження до</w:t>
            </w:r>
            <w:r w:rsidR="006C415F" w:rsidRPr="003479AB">
              <w:rPr>
                <w:szCs w:val="24"/>
                <w:lang w:val="uk-UA" w:eastAsia="ru-RU"/>
              </w:rPr>
              <w:t xml:space="preserve"> місцевого</w:t>
            </w:r>
            <w:r w:rsidRPr="003479AB">
              <w:rPr>
                <w:szCs w:val="24"/>
                <w:lang w:val="uk-UA" w:eastAsia="ru-RU"/>
              </w:rPr>
              <w:t xml:space="preserve"> бюджету</w:t>
            </w:r>
            <w:r w:rsidR="000E39A9" w:rsidRPr="003479AB">
              <w:rPr>
                <w:szCs w:val="24"/>
                <w:lang w:val="uk-UA" w:eastAsia="ru-RU"/>
              </w:rPr>
              <w:t>, та дозволить надати підтримку громадян</w:t>
            </w:r>
            <w:r w:rsidR="003479AB" w:rsidRPr="003479AB">
              <w:rPr>
                <w:szCs w:val="24"/>
                <w:lang w:val="uk-UA" w:eastAsia="ru-RU"/>
              </w:rPr>
              <w:t>ам</w:t>
            </w:r>
            <w:r w:rsidR="000E39A9" w:rsidRPr="003479AB">
              <w:rPr>
                <w:szCs w:val="24"/>
                <w:lang w:val="uk-UA" w:eastAsia="ru-RU"/>
              </w:rPr>
              <w:t xml:space="preserve"> та суб’єктам господарювання, які у зв’язку із соціально-політичною ситуацією, що склалася на території області, позбавлені можливості користуватися земельними ділянками та отримувати від цього дохід. </w:t>
            </w:r>
          </w:p>
          <w:p w:rsidR="00D941B6" w:rsidRPr="003479AB" w:rsidRDefault="000E39A9" w:rsidP="000E39A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szCs w:val="24"/>
                <w:lang w:val="uk-UA" w:eastAsia="ru-RU"/>
              </w:rPr>
            </w:pPr>
            <w:r w:rsidRPr="003479AB">
              <w:rPr>
                <w:szCs w:val="24"/>
                <w:lang w:val="uk-UA" w:eastAsia="ru-RU"/>
              </w:rPr>
              <w:t>Затвердження такого регуляторного акту забезпечить досягнення встановлених цілей, відповідає потребам у розв’язанні визначеної проблеми та принципам державної регуляторної політики.</w:t>
            </w:r>
          </w:p>
        </w:tc>
      </w:tr>
      <w:tr w:rsidR="000E39A9" w:rsidRPr="003479AB" w:rsidTr="00D941B6">
        <w:tc>
          <w:tcPr>
            <w:tcW w:w="1980" w:type="dxa"/>
          </w:tcPr>
          <w:p w:rsidR="000E39A9" w:rsidRPr="003479AB" w:rsidRDefault="000E39A9" w:rsidP="000E39A9">
            <w:pPr>
              <w:rPr>
                <w:szCs w:val="24"/>
                <w:lang w:val="uk-UA"/>
              </w:rPr>
            </w:pPr>
            <w:r w:rsidRPr="003479AB">
              <w:rPr>
                <w:szCs w:val="24"/>
                <w:lang w:val="uk-UA"/>
              </w:rPr>
              <w:t xml:space="preserve">Альтернатива 2 </w:t>
            </w:r>
          </w:p>
        </w:tc>
        <w:tc>
          <w:tcPr>
            <w:tcW w:w="7648" w:type="dxa"/>
          </w:tcPr>
          <w:p w:rsidR="000E39A9" w:rsidRPr="003479AB" w:rsidRDefault="000E39A9" w:rsidP="000E39A9">
            <w:pPr>
              <w:rPr>
                <w:szCs w:val="24"/>
                <w:lang w:val="uk-UA"/>
              </w:rPr>
            </w:pPr>
            <w:r w:rsidRPr="003479AB">
              <w:rPr>
                <w:szCs w:val="24"/>
                <w:lang w:val="uk-UA"/>
              </w:rPr>
              <w:t xml:space="preserve">Неприйняття запропонованого регуляторного </w:t>
            </w:r>
            <w:proofErr w:type="spellStart"/>
            <w:r w:rsidRPr="003479AB">
              <w:rPr>
                <w:szCs w:val="24"/>
                <w:lang w:val="uk-UA"/>
              </w:rPr>
              <w:t>акта</w:t>
            </w:r>
            <w:proofErr w:type="spellEnd"/>
            <w:r w:rsidRPr="003479AB">
              <w:rPr>
                <w:szCs w:val="24"/>
                <w:lang w:val="uk-UA"/>
              </w:rPr>
              <w:t xml:space="preserve"> не </w:t>
            </w:r>
            <w:r w:rsidRPr="003479AB">
              <w:rPr>
                <w:szCs w:val="24"/>
                <w:lang w:val="uk-UA"/>
              </w:rPr>
              <w:lastRenderedPageBreak/>
              <w:t>узгоджуватиметься зокрема з принципами податкового закон</w:t>
            </w:r>
            <w:r w:rsidR="00DA1786" w:rsidRPr="003479AB">
              <w:rPr>
                <w:szCs w:val="24"/>
                <w:lang w:val="uk-UA"/>
              </w:rPr>
              <w:t>одавства України, а встановлені пільги зі сплати земельного податку не охоплюють всю територію територіальної громади. Тому, власники та користувачі, які позбавлені можливості користуватися земельними ділянками, в тому числі сільськогосподарського призначення у зв’язку з проведенням операції Об’єднаних сил не отримають право на пільгу, оскільки перелік пільг у статтях 281, 282 ПКУ дуже вузький і не враховує реальні потреби землекористувачів Авдіївської міської територіальної громади в отриманні пільг з плати за землю.</w:t>
            </w:r>
          </w:p>
        </w:tc>
      </w:tr>
    </w:tbl>
    <w:p w:rsidR="00DF6E38" w:rsidRPr="003479AB" w:rsidRDefault="00DF6E38" w:rsidP="00796DEF">
      <w:pPr>
        <w:jc w:val="left"/>
        <w:rPr>
          <w:color w:val="auto"/>
          <w:szCs w:val="24"/>
          <w:lang w:val="uk-UA"/>
        </w:rPr>
      </w:pPr>
    </w:p>
    <w:p w:rsidR="003479AB" w:rsidRDefault="003479AB" w:rsidP="004604E2">
      <w:pPr>
        <w:ind w:firstLine="708"/>
        <w:jc w:val="center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>2.</w:t>
      </w:r>
      <w:r w:rsidR="00D941B6" w:rsidRPr="003479AB">
        <w:rPr>
          <w:bCs/>
          <w:color w:val="auto"/>
          <w:szCs w:val="24"/>
          <w:lang w:val="uk-UA"/>
        </w:rPr>
        <w:t xml:space="preserve"> Оцінка вибраних альтернат</w:t>
      </w:r>
      <w:r w:rsidR="004604E2">
        <w:rPr>
          <w:bCs/>
          <w:color w:val="auto"/>
          <w:szCs w:val="24"/>
          <w:lang w:val="uk-UA"/>
        </w:rPr>
        <w:t>ивних способів досягнення цілей</w:t>
      </w:r>
    </w:p>
    <w:p w:rsidR="003479AB" w:rsidRPr="003479AB" w:rsidRDefault="003479AB" w:rsidP="00D941B6">
      <w:pPr>
        <w:jc w:val="center"/>
        <w:rPr>
          <w:bCs/>
          <w:color w:val="auto"/>
          <w:szCs w:val="24"/>
          <w:lang w:val="uk-UA"/>
        </w:rPr>
      </w:pPr>
    </w:p>
    <w:p w:rsidR="00DF6E38" w:rsidRPr="003479AB" w:rsidRDefault="00D941B6" w:rsidP="003479AB">
      <w:pPr>
        <w:ind w:firstLine="708"/>
        <w:jc w:val="center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>Оцінка впливу на сферу інтересів органів місцевого самоврядування</w:t>
      </w:r>
    </w:p>
    <w:p w:rsidR="00DF6E38" w:rsidRPr="003479AB" w:rsidRDefault="00DF6E38">
      <w:pPr>
        <w:rPr>
          <w:bCs/>
          <w:color w:val="auto"/>
          <w:szCs w:val="24"/>
          <w:lang w:val="uk-UA"/>
        </w:rPr>
      </w:pPr>
    </w:p>
    <w:tbl>
      <w:tblPr>
        <w:tblW w:w="9670" w:type="dxa"/>
        <w:tblInd w:w="-4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5954"/>
        <w:gridCol w:w="2014"/>
      </w:tblGrid>
      <w:tr w:rsidR="00DF6E38" w:rsidRPr="003479AB" w:rsidTr="003479AB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альтернативи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Вигоди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Витрати</w:t>
            </w:r>
          </w:p>
        </w:tc>
      </w:tr>
      <w:tr w:rsidR="00DF6E38" w:rsidRPr="003479AB" w:rsidTr="003479AB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941B6" w:rsidRPr="003479AB" w:rsidRDefault="00D941B6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Дає можливість врегулювати питання:</w:t>
            </w:r>
          </w:p>
          <w:p w:rsidR="00D941B6" w:rsidRPr="003479AB" w:rsidRDefault="000E39A9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Приведення прийнятих нормативних актів у відповідність до чинного</w:t>
            </w:r>
            <w:r w:rsidR="00D941B6" w:rsidRPr="003479AB">
              <w:rPr>
                <w:color w:val="auto"/>
                <w:szCs w:val="24"/>
                <w:lang w:val="uk-UA"/>
              </w:rPr>
              <w:t xml:space="preserve"> законодавства;</w:t>
            </w:r>
          </w:p>
          <w:p w:rsidR="00DA1786" w:rsidRPr="003479AB" w:rsidRDefault="00D941B6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- н</w:t>
            </w:r>
            <w:r w:rsidR="000E39A9" w:rsidRPr="003479AB">
              <w:rPr>
                <w:color w:val="auto"/>
                <w:szCs w:val="24"/>
                <w:lang w:val="uk-UA"/>
              </w:rPr>
              <w:t xml:space="preserve">адходження податків до місцевого </w:t>
            </w:r>
            <w:r w:rsidRPr="003479AB">
              <w:rPr>
                <w:color w:val="auto"/>
                <w:szCs w:val="24"/>
                <w:lang w:val="uk-UA"/>
              </w:rPr>
              <w:t xml:space="preserve">бюджету і </w:t>
            </w:r>
            <w:r w:rsidR="00C00B6F">
              <w:rPr>
                <w:color w:val="auto"/>
                <w:szCs w:val="24"/>
                <w:lang w:val="uk-UA"/>
              </w:rPr>
              <w:t>можливість фінансування програм</w:t>
            </w:r>
            <w:r w:rsidR="00622ED8" w:rsidRPr="003479AB">
              <w:rPr>
                <w:color w:val="auto"/>
                <w:szCs w:val="24"/>
                <w:lang w:val="uk-UA"/>
              </w:rPr>
              <w:t>;</w:t>
            </w:r>
          </w:p>
          <w:p w:rsidR="00DA1786" w:rsidRPr="003479AB" w:rsidRDefault="00622ED8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-</w:t>
            </w:r>
            <w:r w:rsidR="00DA1786" w:rsidRPr="003479AB">
              <w:rPr>
                <w:color w:val="auto"/>
                <w:szCs w:val="24"/>
                <w:lang w:val="uk-UA"/>
              </w:rPr>
              <w:t>підтримки громадян</w:t>
            </w:r>
            <w:r w:rsidR="003479AB">
              <w:rPr>
                <w:color w:val="auto"/>
                <w:szCs w:val="24"/>
                <w:lang w:val="uk-UA"/>
              </w:rPr>
              <w:t xml:space="preserve"> та суб’єктів господарювання</w:t>
            </w:r>
            <w:r w:rsidR="00DA1786" w:rsidRPr="003479AB">
              <w:rPr>
                <w:color w:val="auto"/>
                <w:szCs w:val="24"/>
                <w:lang w:val="uk-UA"/>
              </w:rPr>
              <w:t>, які у зв’язку із соціально-політичною ситуацією, що склалася на території області, позбавлені можливості користуватися земельними ділянками та отримувати від цього дохід;</w:t>
            </w:r>
          </w:p>
          <w:p w:rsidR="00DF6E38" w:rsidRPr="003479AB" w:rsidRDefault="00622ED8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-</w:t>
            </w:r>
            <w:r w:rsidR="00DA1786" w:rsidRPr="003479AB">
              <w:rPr>
                <w:color w:val="auto"/>
                <w:szCs w:val="24"/>
                <w:lang w:val="uk-UA"/>
              </w:rPr>
              <w:t>соціально справедливого податкового навантаження для суб’єктів господарювання</w:t>
            </w:r>
            <w:r w:rsidRPr="003479AB">
              <w:rPr>
                <w:color w:val="auto"/>
                <w:szCs w:val="24"/>
                <w:lang w:val="uk-UA"/>
              </w:rPr>
              <w:t xml:space="preserve"> </w:t>
            </w:r>
            <w:r w:rsidR="00D941B6" w:rsidRPr="003479AB">
              <w:rPr>
                <w:color w:val="auto"/>
                <w:szCs w:val="24"/>
                <w:lang w:val="uk-UA"/>
              </w:rPr>
              <w:t>зд</w:t>
            </w:r>
            <w:r w:rsidR="000E39A9" w:rsidRPr="003479AB">
              <w:rPr>
                <w:color w:val="auto"/>
                <w:szCs w:val="24"/>
                <w:lang w:val="uk-UA"/>
              </w:rPr>
              <w:t xml:space="preserve">ійснення якісного планування та </w:t>
            </w:r>
            <w:r w:rsidR="00D941B6" w:rsidRPr="003479AB">
              <w:rPr>
                <w:color w:val="auto"/>
                <w:szCs w:val="24"/>
                <w:lang w:val="uk-UA"/>
              </w:rPr>
              <w:t>прогноз</w:t>
            </w:r>
            <w:r w:rsidR="003479AB">
              <w:rPr>
                <w:color w:val="auto"/>
                <w:szCs w:val="24"/>
                <w:lang w:val="uk-UA"/>
              </w:rPr>
              <w:t xml:space="preserve">ування надходжень від сплати за </w:t>
            </w:r>
            <w:r w:rsidR="000E39A9" w:rsidRPr="003479AB">
              <w:rPr>
                <w:color w:val="auto"/>
                <w:szCs w:val="24"/>
                <w:lang w:val="uk-UA"/>
              </w:rPr>
              <w:t>землю при формуванні бюджету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941B6" w:rsidRPr="003479AB" w:rsidRDefault="00D941B6" w:rsidP="00622ED8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Незначні орг</w:t>
            </w:r>
            <w:r w:rsidR="003479AB">
              <w:rPr>
                <w:color w:val="auto"/>
                <w:szCs w:val="24"/>
                <w:lang w:val="uk-UA"/>
              </w:rPr>
              <w:t xml:space="preserve">анізаційні витрати, пов’язані з </w:t>
            </w:r>
            <w:r w:rsidRPr="003479AB">
              <w:rPr>
                <w:color w:val="auto"/>
                <w:szCs w:val="24"/>
                <w:lang w:val="uk-UA"/>
              </w:rPr>
              <w:t>прийняттям та</w:t>
            </w:r>
          </w:p>
          <w:p w:rsidR="00DF6E38" w:rsidRPr="003479AB" w:rsidRDefault="00D941B6" w:rsidP="00622ED8">
            <w:pPr>
              <w:pStyle w:val="af0"/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впровадженням рішення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F6E38" w:rsidRPr="003479AB" w:rsidTr="003479AB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Відсутні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="00D941B6" w:rsidRPr="003479AB">
              <w:rPr>
                <w:rFonts w:ascii="Times New Roman" w:hAnsi="Times New Roman" w:cs="Times New Roman"/>
                <w:color w:val="auto"/>
                <w:sz w:val="24"/>
              </w:rPr>
              <w:t>ідсутні</w:t>
            </w:r>
          </w:p>
        </w:tc>
      </w:tr>
    </w:tbl>
    <w:p w:rsidR="00C00B6F" w:rsidRDefault="00C00B6F">
      <w:pPr>
        <w:ind w:firstLine="708"/>
        <w:rPr>
          <w:color w:val="auto"/>
          <w:szCs w:val="24"/>
          <w:lang w:val="uk-UA"/>
        </w:rPr>
      </w:pPr>
    </w:p>
    <w:p w:rsidR="00DF6E38" w:rsidRPr="003479AB" w:rsidRDefault="00F17D03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Запропонований регуляторний акт не передбачає здійснення додаткових бюджетних витрат на адміністрування регулювання.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</w:p>
    <w:p w:rsidR="00DF6E38" w:rsidRPr="003479AB" w:rsidRDefault="00F17D03" w:rsidP="003479AB">
      <w:pPr>
        <w:ind w:left="1416" w:firstLine="708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>Оцінка впливу на сферу інтересів громадян:</w:t>
      </w:r>
    </w:p>
    <w:p w:rsidR="00DF6E38" w:rsidRPr="003479AB" w:rsidRDefault="00DF6E38">
      <w:pPr>
        <w:rPr>
          <w:color w:val="auto"/>
          <w:szCs w:val="24"/>
          <w:lang w:val="uk-UA"/>
        </w:rPr>
      </w:pPr>
    </w:p>
    <w:tbl>
      <w:tblPr>
        <w:tblW w:w="9670" w:type="dxa"/>
        <w:tblInd w:w="-4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5954"/>
        <w:gridCol w:w="2014"/>
      </w:tblGrid>
      <w:tr w:rsidR="00DF6E38" w:rsidRPr="003479AB" w:rsidTr="003479AB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альтернативи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Вигоди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Витрати</w:t>
            </w:r>
          </w:p>
        </w:tc>
      </w:tr>
      <w:tr w:rsidR="00DF6E38" w:rsidRPr="003479AB" w:rsidTr="003479AB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Непрямі вигоди полягають у спрямуванні коштів податку на соціально-економічний розвиток громади</w:t>
            </w:r>
            <w:r>
              <w:rPr>
                <w:color w:val="auto"/>
                <w:szCs w:val="24"/>
                <w:lang w:val="uk-UA"/>
              </w:rPr>
              <w:t>, отримання громадянами с</w:t>
            </w:r>
            <w:proofErr w:type="spellStart"/>
            <w:r w:rsidRPr="003479AB">
              <w:rPr>
                <w:color w:val="auto"/>
                <w:szCs w:val="24"/>
              </w:rPr>
              <w:t>оціального</w:t>
            </w:r>
            <w:proofErr w:type="spellEnd"/>
            <w:r w:rsidRPr="003479AB">
              <w:rPr>
                <w:color w:val="auto"/>
                <w:szCs w:val="24"/>
              </w:rPr>
              <w:t xml:space="preserve"> </w:t>
            </w:r>
            <w:proofErr w:type="spellStart"/>
            <w:r w:rsidRPr="003479AB">
              <w:rPr>
                <w:color w:val="auto"/>
                <w:szCs w:val="24"/>
              </w:rPr>
              <w:t>захист</w:t>
            </w:r>
            <w:proofErr w:type="spellEnd"/>
            <w:r>
              <w:rPr>
                <w:color w:val="auto"/>
                <w:szCs w:val="24"/>
                <w:lang w:val="uk-UA"/>
              </w:rPr>
              <w:t>у, прав і свобод, реалізація державою права громадянина на повагу до гідності.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відсутні</w:t>
            </w:r>
          </w:p>
        </w:tc>
      </w:tr>
      <w:tr w:rsidR="00DF6E38" w:rsidRPr="003479AB" w:rsidTr="003479AB">
        <w:trPr>
          <w:cantSplit/>
          <w:trHeight w:val="220"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snapToGrid w:val="0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 Непрямі вигоди полягають у спрямуванні коштів податку на соціально-економічний розвиток громади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3479AB">
              <w:rPr>
                <w:rFonts w:ascii="Times New Roman" w:hAnsi="Times New Roman"/>
                <w:color w:val="auto"/>
                <w:sz w:val="24"/>
              </w:rPr>
              <w:t>Відсутні</w:t>
            </w:r>
          </w:p>
        </w:tc>
      </w:tr>
    </w:tbl>
    <w:p w:rsidR="00DF6E38" w:rsidRPr="003479AB" w:rsidRDefault="00DF6E38">
      <w:pPr>
        <w:rPr>
          <w:color w:val="auto"/>
          <w:szCs w:val="24"/>
          <w:lang w:val="uk-UA"/>
        </w:rPr>
      </w:pPr>
    </w:p>
    <w:p w:rsidR="00DF6E38" w:rsidRDefault="00F17D03" w:rsidP="003479AB">
      <w:pPr>
        <w:pStyle w:val="aa"/>
        <w:spacing w:after="0" w:line="240" w:lineRule="auto"/>
        <w:ind w:left="708" w:firstLine="708"/>
        <w:rPr>
          <w:rFonts w:ascii="Times New Roman" w:hAnsi="Times New Roman" w:cs="Times New Roman"/>
          <w:bCs/>
          <w:color w:val="auto"/>
          <w:sz w:val="24"/>
        </w:rPr>
      </w:pPr>
      <w:r w:rsidRPr="003479AB">
        <w:rPr>
          <w:rFonts w:ascii="Times New Roman" w:hAnsi="Times New Roman" w:cs="Times New Roman"/>
          <w:bCs/>
          <w:color w:val="auto"/>
          <w:sz w:val="24"/>
        </w:rPr>
        <w:t>Оцінка впливу на сферу інтересів суб’єктів підприємницької діяльності:</w:t>
      </w:r>
    </w:p>
    <w:p w:rsidR="002E64CF" w:rsidRPr="003479AB" w:rsidRDefault="002E64CF" w:rsidP="003479AB">
      <w:pPr>
        <w:pStyle w:val="aa"/>
        <w:spacing w:after="0" w:line="240" w:lineRule="auto"/>
        <w:ind w:left="708" w:firstLine="708"/>
        <w:rPr>
          <w:rFonts w:ascii="Times New Roman" w:hAnsi="Times New Roman" w:cs="Times New Roman"/>
          <w:bCs/>
          <w:color w:val="auto"/>
          <w:sz w:val="24"/>
        </w:rPr>
      </w:pPr>
    </w:p>
    <w:p w:rsidR="00DF6E38" w:rsidRPr="003479AB" w:rsidRDefault="00DF6E38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</w:p>
    <w:tbl>
      <w:tblPr>
        <w:tblW w:w="9644" w:type="dxa"/>
        <w:tblInd w:w="1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55"/>
        <w:gridCol w:w="973"/>
        <w:gridCol w:w="1016"/>
        <w:gridCol w:w="992"/>
        <w:gridCol w:w="989"/>
        <w:gridCol w:w="1019"/>
      </w:tblGrid>
      <w:tr w:rsidR="00DF6E38" w:rsidRPr="003479AB">
        <w:trPr>
          <w:trHeight w:val="139"/>
        </w:trPr>
        <w:tc>
          <w:tcPr>
            <w:tcW w:w="4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lastRenderedPageBreak/>
              <w:t>Показники</w:t>
            </w:r>
          </w:p>
        </w:tc>
        <w:tc>
          <w:tcPr>
            <w:tcW w:w="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0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Мікро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Разом</w:t>
            </w:r>
          </w:p>
        </w:tc>
      </w:tr>
      <w:tr w:rsidR="00DF6E38" w:rsidRPr="003479AB">
        <w:trPr>
          <w:trHeight w:val="138"/>
        </w:trPr>
        <w:tc>
          <w:tcPr>
            <w:tcW w:w="46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DF6E38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DF6E38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DF6E38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F6E38" w:rsidRPr="003479AB" w:rsidRDefault="00DF6E38">
            <w:pPr>
              <w:rPr>
                <w:color w:val="auto"/>
                <w:szCs w:val="24"/>
                <w:lang w:val="uk-U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DF6E38" w:rsidRPr="003479AB" w:rsidRDefault="00DF6E38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DF6E38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DF6E38" w:rsidRPr="003479AB"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Кількість суб’єктів, господарювання, що підпадають під дію регулювання, одиниць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E866C7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E866C7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76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95</w:t>
            </w:r>
          </w:p>
        </w:tc>
      </w:tr>
      <w:tr w:rsidR="00DF6E38" w:rsidRPr="003479AB">
        <w:tc>
          <w:tcPr>
            <w:tcW w:w="4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E866C7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100</w:t>
            </w:r>
          </w:p>
        </w:tc>
      </w:tr>
    </w:tbl>
    <w:p w:rsidR="00DF6E38" w:rsidRDefault="00DF6E38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3479AB" w:rsidRPr="003479AB" w:rsidRDefault="00F17D03" w:rsidP="003479AB">
      <w:pPr>
        <w:ind w:left="708" w:firstLine="708"/>
        <w:rPr>
          <w:rStyle w:val="rvts0"/>
          <w:szCs w:val="24"/>
          <w:lang w:val="uk-UA"/>
        </w:rPr>
      </w:pPr>
      <w:r w:rsidRPr="003479AB">
        <w:rPr>
          <w:rStyle w:val="rvts0"/>
          <w:szCs w:val="24"/>
          <w:lang w:val="uk-UA"/>
        </w:rPr>
        <w:t xml:space="preserve">Оцінка впливу на сферу інтересів усіх суб’єктів господарювання </w:t>
      </w:r>
    </w:p>
    <w:p w:rsidR="00DF6E38" w:rsidRDefault="00F17D03" w:rsidP="003479AB">
      <w:pPr>
        <w:ind w:left="1416" w:firstLine="708"/>
        <w:rPr>
          <w:rStyle w:val="rvts0"/>
          <w:szCs w:val="24"/>
          <w:lang w:val="uk-UA"/>
        </w:rPr>
      </w:pPr>
      <w:r w:rsidRPr="003479AB">
        <w:rPr>
          <w:rStyle w:val="rvts0"/>
          <w:szCs w:val="24"/>
          <w:lang w:val="uk-UA"/>
        </w:rPr>
        <w:t>(витра</w:t>
      </w:r>
      <w:r w:rsidR="002E64CF">
        <w:rPr>
          <w:rStyle w:val="rvts0"/>
          <w:szCs w:val="24"/>
          <w:lang w:val="uk-UA"/>
        </w:rPr>
        <w:t>ти визначені у Додатках 1 та 2)</w:t>
      </w:r>
    </w:p>
    <w:p w:rsidR="002E64CF" w:rsidRPr="003479AB" w:rsidRDefault="002E64CF" w:rsidP="003479AB">
      <w:pPr>
        <w:ind w:left="1416" w:firstLine="708"/>
        <w:rPr>
          <w:color w:val="auto"/>
          <w:szCs w:val="24"/>
          <w:lang w:val="uk-UA"/>
        </w:rPr>
      </w:pPr>
    </w:p>
    <w:tbl>
      <w:tblPr>
        <w:tblW w:w="9670" w:type="dxa"/>
        <w:tblInd w:w="-4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5103"/>
        <w:gridCol w:w="3006"/>
      </w:tblGrid>
      <w:tr w:rsidR="00DF6E38" w:rsidRPr="003479AB" w:rsidTr="003479AB"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альтернативи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Вигоди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Витрати</w:t>
            </w:r>
          </w:p>
        </w:tc>
      </w:tr>
      <w:tr w:rsidR="00DF6E38" w:rsidRPr="003479AB" w:rsidTr="003479AB"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622ED8" w:rsidP="002E64CF">
            <w:pPr>
              <w:snapToGrid w:val="0"/>
              <w:rPr>
                <w:color w:val="00000A"/>
                <w:szCs w:val="24"/>
                <w:lang w:val="uk-UA"/>
              </w:rPr>
            </w:pPr>
            <w:r w:rsidRPr="003479AB">
              <w:rPr>
                <w:color w:val="00000A"/>
                <w:szCs w:val="24"/>
                <w:lang w:val="uk-UA"/>
              </w:rPr>
              <w:t>Можливість сплачувати</w:t>
            </w:r>
            <w:r w:rsidR="00E541A4" w:rsidRPr="003479AB">
              <w:rPr>
                <w:color w:val="auto"/>
                <w:szCs w:val="24"/>
                <w:lang w:val="uk-UA"/>
              </w:rPr>
              <w:t xml:space="preserve"> </w:t>
            </w:r>
            <w:r w:rsidR="00E541A4" w:rsidRPr="003479AB">
              <w:rPr>
                <w:color w:val="00000A"/>
                <w:szCs w:val="24"/>
                <w:lang w:val="uk-UA"/>
              </w:rPr>
              <w:t>оптимальні обґрунтовані ставки земельного податку, які б забезпечували стабільні надходження до бюджету громади та не шкодило б підприємницькій діяльності, а певній ка</w:t>
            </w:r>
            <w:r w:rsidR="003479AB" w:rsidRPr="003479AB">
              <w:rPr>
                <w:color w:val="00000A"/>
                <w:szCs w:val="24"/>
                <w:lang w:val="uk-UA"/>
              </w:rPr>
              <w:t>тегорії</w:t>
            </w:r>
            <w:r w:rsidR="00E541A4" w:rsidRPr="003479AB">
              <w:rPr>
                <w:color w:val="00000A"/>
                <w:szCs w:val="24"/>
                <w:lang w:val="uk-UA"/>
              </w:rPr>
              <w:t xml:space="preserve"> суб’єктів господарювання отримувати пільги зі сплати земельного податку.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3479AB" w:rsidP="003479AB">
            <w:pPr>
              <w:pStyle w:val="af0"/>
              <w:tabs>
                <w:tab w:val="left" w:pos="285"/>
                <w:tab w:val="center" w:pos="813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Затрати часу на отримання</w:t>
            </w:r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первинної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інформації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про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вимоги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регулювання</w:t>
            </w:r>
            <w:proofErr w:type="spellEnd"/>
            <w:r w:rsidRPr="003479AB">
              <w:rPr>
                <w:color w:val="auto"/>
                <w:sz w:val="24"/>
              </w:rPr>
              <w:t xml:space="preserve"> </w:t>
            </w:r>
            <w:r w:rsidRPr="003479AB">
              <w:rPr>
                <w:color w:val="auto"/>
                <w:sz w:val="24"/>
                <w:lang w:val="ru-RU"/>
              </w:rPr>
              <w:t xml:space="preserve">(час,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який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витрачається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суб’єктом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господарювання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на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пошук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нормативно</w:t>
            </w:r>
            <w:r w:rsidRPr="003479AB">
              <w:rPr>
                <w:color w:val="auto"/>
                <w:sz w:val="24"/>
              </w:rPr>
              <w:t xml:space="preserve"> </w:t>
            </w:r>
            <w:r w:rsidRPr="003479AB">
              <w:rPr>
                <w:color w:val="auto"/>
                <w:sz w:val="24"/>
                <w:lang w:val="ru-RU"/>
              </w:rPr>
              <w:t xml:space="preserve">правового акту в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мережі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Інтернет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та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ознайомлення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 xml:space="preserve"> з ним; за результатами </w:t>
            </w:r>
            <w:proofErr w:type="spellStart"/>
            <w:r w:rsidRPr="003479AB">
              <w:rPr>
                <w:color w:val="auto"/>
                <w:sz w:val="24"/>
                <w:lang w:val="ru-RU"/>
              </w:rPr>
              <w:t>консультацій</w:t>
            </w:r>
            <w:proofErr w:type="spellEnd"/>
            <w:r w:rsidRPr="003479AB">
              <w:rPr>
                <w:color w:val="auto"/>
                <w:sz w:val="24"/>
                <w:lang w:val="ru-RU"/>
              </w:rPr>
              <w:t>)</w:t>
            </w:r>
            <w:r w:rsidRPr="003479AB">
              <w:rPr>
                <w:color w:val="auto"/>
                <w:sz w:val="24"/>
              </w:rPr>
              <w:t>.</w:t>
            </w:r>
            <w:r w:rsidRPr="003479AB">
              <w:rPr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інформації про об’єкт оподаткування, ознайомлення з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порядком звітування, проведення розрахунку плати за землю та матеріальні витрати на сплату земельного податку до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місцевого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бюджету</w:t>
            </w:r>
          </w:p>
        </w:tc>
      </w:tr>
      <w:tr w:rsidR="00DF6E38" w:rsidRPr="003479AB" w:rsidTr="003479AB">
        <w:trPr>
          <w:cantSplit/>
        </w:trPr>
        <w:tc>
          <w:tcPr>
            <w:tcW w:w="1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Альтернатива 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6E38" w:rsidRPr="003479AB" w:rsidRDefault="00F17D03">
            <w:pPr>
              <w:snapToGrid w:val="0"/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Відсутні</w:t>
            </w:r>
          </w:p>
        </w:tc>
        <w:tc>
          <w:tcPr>
            <w:tcW w:w="3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6E38" w:rsidRPr="003479AB" w:rsidRDefault="003479AB" w:rsidP="003479AB">
            <w:pPr>
              <w:pStyle w:val="a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Сплата податку на землю до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місцевого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бюджету </w:t>
            </w:r>
          </w:p>
        </w:tc>
      </w:tr>
    </w:tbl>
    <w:p w:rsidR="00DF6E38" w:rsidRPr="003479AB" w:rsidRDefault="00DF6E38">
      <w:pPr>
        <w:ind w:firstLine="708"/>
        <w:rPr>
          <w:color w:val="auto"/>
          <w:szCs w:val="24"/>
          <w:lang w:val="uk-UA"/>
        </w:rPr>
      </w:pPr>
    </w:p>
    <w:p w:rsidR="00DF6E38" w:rsidRPr="003479AB" w:rsidRDefault="00F17D03" w:rsidP="003479AB">
      <w:pPr>
        <w:ind w:firstLine="708"/>
        <w:jc w:val="center"/>
        <w:rPr>
          <w:rStyle w:val="rvts0"/>
          <w:szCs w:val="24"/>
          <w:lang w:val="uk-UA"/>
        </w:rPr>
      </w:pPr>
      <w:r w:rsidRPr="003479AB">
        <w:rPr>
          <w:rStyle w:val="rvts0"/>
          <w:szCs w:val="24"/>
          <w:lang w:val="uk-UA"/>
        </w:rPr>
        <w:t>Витрати, які будуть виникати внаслідок дії регуляторного акту на сферу інтересів суб’єктів господарювання великого і середнього підприємництва (визначені у Додатку 1)</w:t>
      </w:r>
    </w:p>
    <w:p w:rsidR="00DF6E38" w:rsidRPr="003479AB" w:rsidRDefault="00DF6E38" w:rsidP="003479AB">
      <w:pPr>
        <w:ind w:firstLine="708"/>
        <w:jc w:val="center"/>
        <w:rPr>
          <w:color w:val="auto"/>
          <w:szCs w:val="24"/>
          <w:lang w:val="uk-UA"/>
        </w:rPr>
      </w:pPr>
    </w:p>
    <w:tbl>
      <w:tblPr>
        <w:tblStyle w:val="af7"/>
        <w:tblW w:w="9699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3041"/>
      </w:tblGrid>
      <w:tr w:rsidR="003479AB" w:rsidRPr="003479AB" w:rsidTr="003479AB">
        <w:tc>
          <w:tcPr>
            <w:tcW w:w="1555" w:type="dxa"/>
          </w:tcPr>
          <w:p w:rsidR="003479AB" w:rsidRPr="003479AB" w:rsidRDefault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479AB" w:rsidRPr="003479AB" w:rsidRDefault="003479AB" w:rsidP="003479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3041" w:type="dxa"/>
          </w:tcPr>
          <w:p w:rsidR="003479AB" w:rsidRPr="003479AB" w:rsidRDefault="003479AB" w:rsidP="003479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 w:eastAsia="ru-RU"/>
              </w:rPr>
              <w:t>Сума витрат, гривень</w:t>
            </w:r>
          </w:p>
        </w:tc>
      </w:tr>
      <w:tr w:rsidR="003479AB" w:rsidRPr="003479AB" w:rsidTr="003479AB">
        <w:tc>
          <w:tcPr>
            <w:tcW w:w="1555" w:type="dxa"/>
          </w:tcPr>
          <w:p w:rsidR="003479AB" w:rsidRPr="003479AB" w:rsidRDefault="003479AB" w:rsidP="003479AB">
            <w:pPr>
              <w:pStyle w:val="af0"/>
              <w:widowControl w:val="0"/>
              <w:ind w:left="-120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Альтернатива 1.</w:t>
            </w:r>
          </w:p>
        </w:tc>
        <w:tc>
          <w:tcPr>
            <w:tcW w:w="5103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 w:eastAsia="ru-RU"/>
              </w:rPr>
              <w:t>Сумарні витрати для суб’єктів господарювання великого і середнього пі</w:t>
            </w:r>
            <w:r>
              <w:rPr>
                <w:color w:val="auto"/>
                <w:szCs w:val="24"/>
                <w:lang w:val="uk-UA" w:eastAsia="ru-RU"/>
              </w:rPr>
              <w:t>дприємництва згідно з додатком 1</w:t>
            </w:r>
            <w:r w:rsidRPr="003479AB">
              <w:rPr>
                <w:color w:val="auto"/>
                <w:szCs w:val="24"/>
                <w:lang w:val="uk-UA" w:eastAsia="ru-RU"/>
              </w:rPr>
              <w:t xml:space="preserve"> до Методики проведення аналізу впливу регуляторного </w:t>
            </w:r>
            <w:proofErr w:type="spellStart"/>
            <w:r w:rsidRPr="003479AB">
              <w:rPr>
                <w:color w:val="auto"/>
                <w:szCs w:val="24"/>
                <w:lang w:val="uk-UA" w:eastAsia="ru-RU"/>
              </w:rPr>
              <w:t>акта</w:t>
            </w:r>
            <w:proofErr w:type="spellEnd"/>
            <w:r w:rsidRPr="003479AB">
              <w:rPr>
                <w:color w:val="auto"/>
                <w:szCs w:val="24"/>
                <w:lang w:val="uk-UA" w:eastAsia="ru-RU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3479AB">
              <w:rPr>
                <w:color w:val="auto"/>
                <w:szCs w:val="24"/>
                <w:lang w:val="uk-UA" w:eastAsia="ru-RU"/>
              </w:rPr>
              <w:t>акта</w:t>
            </w:r>
            <w:proofErr w:type="spellEnd"/>
            <w:r w:rsidRPr="003479AB">
              <w:rPr>
                <w:color w:val="auto"/>
                <w:szCs w:val="24"/>
                <w:lang w:val="uk-UA" w:eastAsia="ru-RU"/>
              </w:rPr>
              <w:t>»)</w:t>
            </w:r>
          </w:p>
        </w:tc>
        <w:tc>
          <w:tcPr>
            <w:tcW w:w="3041" w:type="dxa"/>
          </w:tcPr>
          <w:p w:rsidR="003479AB" w:rsidRPr="003479AB" w:rsidRDefault="002E132B" w:rsidP="002E132B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1910,0</w:t>
            </w:r>
          </w:p>
        </w:tc>
      </w:tr>
      <w:tr w:rsidR="003479AB" w:rsidRPr="003479AB" w:rsidTr="003479AB">
        <w:tc>
          <w:tcPr>
            <w:tcW w:w="1555" w:type="dxa"/>
          </w:tcPr>
          <w:p w:rsidR="003479AB" w:rsidRPr="003479AB" w:rsidRDefault="003479AB" w:rsidP="003479AB">
            <w:pPr>
              <w:ind w:left="-120"/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 w:eastAsia="ru-RU"/>
              </w:rPr>
              <w:t>Альтернатива 2</w:t>
            </w:r>
          </w:p>
        </w:tc>
        <w:tc>
          <w:tcPr>
            <w:tcW w:w="5103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Сумарні витрати для суб’єктів господарювання великого і середнього підприємництва згідно з додатком </w:t>
            </w:r>
            <w:r>
              <w:rPr>
                <w:color w:val="auto"/>
                <w:szCs w:val="24"/>
                <w:lang w:val="uk-UA"/>
              </w:rPr>
              <w:t>1</w:t>
            </w:r>
            <w:r w:rsidRPr="003479AB">
              <w:rPr>
                <w:color w:val="auto"/>
                <w:szCs w:val="24"/>
                <w:lang w:val="uk-UA"/>
              </w:rPr>
              <w:t xml:space="preserve"> до Методики проведення аналізу впливу регуляторного </w:t>
            </w:r>
            <w:proofErr w:type="spellStart"/>
            <w:r w:rsidRPr="003479AB">
              <w:rPr>
                <w:color w:val="auto"/>
                <w:szCs w:val="24"/>
                <w:lang w:val="uk-UA"/>
              </w:rPr>
              <w:t>акта</w:t>
            </w:r>
            <w:proofErr w:type="spellEnd"/>
            <w:r w:rsidRPr="003479AB">
              <w:rPr>
                <w:color w:val="auto"/>
                <w:szCs w:val="24"/>
                <w:lang w:val="uk-UA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3479AB">
              <w:rPr>
                <w:color w:val="auto"/>
                <w:szCs w:val="24"/>
                <w:lang w:val="uk-UA"/>
              </w:rPr>
              <w:t>акта</w:t>
            </w:r>
            <w:proofErr w:type="spellEnd"/>
            <w:r w:rsidRPr="003479AB">
              <w:rPr>
                <w:color w:val="auto"/>
                <w:szCs w:val="24"/>
                <w:lang w:val="uk-UA"/>
              </w:rPr>
              <w:t>»)</w:t>
            </w:r>
          </w:p>
        </w:tc>
        <w:tc>
          <w:tcPr>
            <w:tcW w:w="3041" w:type="dxa"/>
          </w:tcPr>
          <w:p w:rsidR="003479AB" w:rsidRPr="003479AB" w:rsidRDefault="002E132B" w:rsidP="003479AB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1910,0</w:t>
            </w:r>
          </w:p>
        </w:tc>
      </w:tr>
    </w:tbl>
    <w:p w:rsidR="003479AB" w:rsidRDefault="003479AB" w:rsidP="003479AB">
      <w:pPr>
        <w:ind w:firstLine="708"/>
        <w:rPr>
          <w:color w:val="auto"/>
          <w:szCs w:val="24"/>
          <w:lang w:val="uk-UA"/>
        </w:rPr>
      </w:pPr>
    </w:p>
    <w:p w:rsidR="003479AB" w:rsidRPr="003479AB" w:rsidRDefault="003479AB" w:rsidP="003479AB">
      <w:pPr>
        <w:ind w:firstLine="708"/>
        <w:jc w:val="center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Оцінка впливу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 на конкурен</w:t>
      </w:r>
      <w:r>
        <w:rPr>
          <w:color w:val="auto"/>
          <w:szCs w:val="24"/>
          <w:lang w:val="uk-UA"/>
        </w:rPr>
        <w:t xml:space="preserve">цію в рамках проведення аналізу </w:t>
      </w:r>
      <w:r w:rsidRPr="003479AB">
        <w:rPr>
          <w:color w:val="auto"/>
          <w:szCs w:val="24"/>
          <w:lang w:val="uk-UA"/>
        </w:rPr>
        <w:t>регуляторного впливу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Контрольний перелік питань для оцінки регуляторного впливу на конкуренцію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Категорія впливу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відповідь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А. Обмежує кількість або звужує коло постачальників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        </w:t>
            </w:r>
            <w:r w:rsidRPr="003479AB">
              <w:rPr>
                <w:color w:val="auto"/>
                <w:szCs w:val="24"/>
                <w:lang w:val="uk-UA"/>
              </w:rPr>
              <w:t>Такий наслідок може мати місце, якщо регуляторна пропозиція</w:t>
            </w:r>
            <w:r>
              <w:rPr>
                <w:color w:val="auto"/>
                <w:szCs w:val="24"/>
                <w:lang w:val="uk-UA"/>
              </w:rPr>
              <w:t>: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1. Надає суб’єкту господарювання виключні права на поставку товарів </w:t>
            </w:r>
            <w:r>
              <w:rPr>
                <w:color w:val="auto"/>
                <w:szCs w:val="24"/>
                <w:lang w:val="uk-UA"/>
              </w:rPr>
              <w:t>чи послу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2. Запроваджує режим ліцензування, надання дозволу або вимогу погодження підприємницької діяльності із органами влади;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3. Обмежує здатність окремих категорій підприємців постачати товари чи надавати послуги (звужує коло учасників ринку);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rPr>
          <w:trHeight w:val="420"/>
        </w:trPr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          4. Значно підвищує вартість входження в ринок або виходу з нього; 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          5. Створює географічний бар’єр для постачання товарів, виконання робіт, надання послуг або інвестицій.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Б. Обмежує здатність постачальників конкурувати</w:t>
            </w:r>
          </w:p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Такий наслідок може мати, якщо регуляторна пропозиція: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1. Обмежує здатність підприємців визначити ціни на товари та послуги; 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2. Обмежує можливість постачальників рекламувати або здійснювати маркетинг їх товарів чи послуг;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3. Встановлює стандарти якості, що надають необґрунтовану перевагу окремим постачальникам порівняно з іншими, або стандарти вищого рівня якості, ніж той, який обрали б окремі достатньо поінформовані споживачі;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4. Суттєво збільшує витрати окремих суб’єктів підприємств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В. Зменшує мотивацію постачальників до активної конкуренції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         </w:t>
            </w:r>
            <w:r w:rsidRPr="003479AB">
              <w:rPr>
                <w:color w:val="auto"/>
                <w:szCs w:val="24"/>
                <w:lang w:val="uk-UA"/>
              </w:rPr>
              <w:t>Такий наслідок може місце, якщо регуляторна пропозиція: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1. Запроваджує режим саморегулювання або спільного регулювання;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2. Вимагає або заохочує публікувати інформацію про обсяги виробництва чи реалізації, ціни та витрати підприємств;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Г. Обмежує вибір та доступ споживачів до необхідності інформації.</w:t>
            </w:r>
          </w:p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Такий наслідок маже мати місце, якщо регуляторна процедура: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1. Обмежує здатність споживачів вирішувати, у кого купувати товар;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2. Знижує можливість споживачів внаслідок підвищення прямих або непрямих витрат на заміну постачальника;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  <w:tr w:rsidR="003479AB" w:rsidRPr="003479AB" w:rsidTr="003479AB">
        <w:tc>
          <w:tcPr>
            <w:tcW w:w="8359" w:type="dxa"/>
          </w:tcPr>
          <w:p w:rsidR="003479AB" w:rsidRPr="003479AB" w:rsidRDefault="003479AB" w:rsidP="003479AB">
            <w:pPr>
              <w:ind w:firstLine="708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3. Суттєво обмежує чи змінює інформацію, необхідну для прийняття раціонального рішення щодо придбання чи продажу товарів.</w:t>
            </w:r>
          </w:p>
        </w:tc>
        <w:tc>
          <w:tcPr>
            <w:tcW w:w="1275" w:type="dxa"/>
          </w:tcPr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Ні</w:t>
            </w:r>
          </w:p>
          <w:p w:rsidR="003479AB" w:rsidRPr="003479AB" w:rsidRDefault="003479AB" w:rsidP="003479AB">
            <w:pPr>
              <w:jc w:val="center"/>
              <w:rPr>
                <w:color w:val="auto"/>
                <w:szCs w:val="24"/>
                <w:lang w:val="uk-UA"/>
              </w:rPr>
            </w:pPr>
          </w:p>
        </w:tc>
      </w:tr>
    </w:tbl>
    <w:p w:rsidR="00DF6E38" w:rsidRPr="003479AB" w:rsidRDefault="00DF6E38" w:rsidP="003479AB">
      <w:pPr>
        <w:ind w:firstLine="708"/>
        <w:rPr>
          <w:color w:val="auto"/>
          <w:szCs w:val="24"/>
          <w:lang w:val="uk-UA"/>
        </w:rPr>
      </w:pPr>
    </w:p>
    <w:p w:rsidR="00DF6E38" w:rsidRPr="003479AB" w:rsidRDefault="00F17D03">
      <w:pPr>
        <w:jc w:val="center"/>
        <w:rPr>
          <w:b/>
          <w:bCs/>
          <w:caps/>
          <w:color w:val="auto"/>
          <w:szCs w:val="24"/>
          <w:lang w:val="uk-UA"/>
        </w:rPr>
      </w:pPr>
      <w:r w:rsidRPr="003479AB">
        <w:rPr>
          <w:b/>
          <w:bCs/>
          <w:caps/>
          <w:color w:val="auto"/>
          <w:szCs w:val="24"/>
          <w:lang w:val="uk-UA"/>
        </w:rPr>
        <w:t>IV. Вибір найбільш оптимального альтернативного способу досягнення цілей</w:t>
      </w:r>
    </w:p>
    <w:p w:rsidR="003479AB" w:rsidRPr="003479AB" w:rsidRDefault="003479AB">
      <w:pPr>
        <w:jc w:val="center"/>
        <w:rPr>
          <w:caps/>
          <w:color w:val="auto"/>
          <w:szCs w:val="24"/>
          <w:lang w:val="uk-UA"/>
        </w:rPr>
      </w:pP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Вартість балів визначається за чотирибальною системою оцінки ступеня досягнення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визначених цілей, де: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4 - цілі прийняття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які можуть бути досягнуті повною мірою (проблема більше існувати не буде);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lastRenderedPageBreak/>
        <w:t xml:space="preserve">3 - цілі прийняття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які можуть бути досягнуті майже  повною мірою (усі важливі аспекти проблеми існувати не будуть);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2 - цілі прийняття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які можуть бути досягнуті частково (проблема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значно зменшиться, деякі важливі та критичні аспекти проблеми залишаться невирішеними);</w:t>
      </w:r>
    </w:p>
    <w:p w:rsidR="00DF6E38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1 - цілі прийняття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які не можуть бути досягнуті (проблема продовжує існувати).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</w:p>
    <w:tbl>
      <w:tblPr>
        <w:tblW w:w="9648" w:type="dxa"/>
        <w:tblInd w:w="-10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7"/>
        <w:gridCol w:w="2410"/>
        <w:gridCol w:w="3831"/>
      </w:tblGrid>
      <w:tr w:rsidR="00DF6E38" w:rsidRPr="003479AB" w:rsidTr="003479A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Бал результативності (за чотирибальною системою оцінки)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Коментарі щодо присвоєння відповідного балу</w:t>
            </w:r>
          </w:p>
        </w:tc>
      </w:tr>
      <w:tr w:rsidR="00DF6E38" w:rsidRPr="003479AB" w:rsidTr="003479A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Альтернатива 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3479AB" w:rsidP="003479AB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Альтернатива 1 дає змогу повною мірою досягнути встановлених цілей. Цей регуляторний акт відповідає потребам у розв’язанні визначеної проблеми,  принципам державної регуляторної політики та положенням Податкового кодексу України. </w:t>
            </w:r>
          </w:p>
        </w:tc>
      </w:tr>
      <w:tr w:rsidR="00DF6E38" w:rsidRPr="003479AB" w:rsidTr="003479A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Альтернатива 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3479AB" w:rsidP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Проблема продовжить існувати</w:t>
            </w:r>
          </w:p>
        </w:tc>
      </w:tr>
    </w:tbl>
    <w:p w:rsidR="00DF6E38" w:rsidRPr="003479AB" w:rsidRDefault="00DF6E38">
      <w:pPr>
        <w:rPr>
          <w:color w:val="auto"/>
          <w:szCs w:val="24"/>
          <w:lang w:val="uk-UA"/>
        </w:rPr>
      </w:pPr>
    </w:p>
    <w:tbl>
      <w:tblPr>
        <w:tblW w:w="9644" w:type="dxa"/>
        <w:tblInd w:w="-10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5"/>
        <w:gridCol w:w="3969"/>
        <w:gridCol w:w="2126"/>
        <w:gridCol w:w="1984"/>
      </w:tblGrid>
      <w:tr w:rsidR="003479AB" w:rsidRPr="003479AB" w:rsidTr="003479A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79AB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Рейтинг </w:t>
            </w:r>
            <w:proofErr w:type="spellStart"/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</w:t>
            </w:r>
            <w:proofErr w:type="spellEnd"/>
          </w:p>
          <w:p w:rsidR="00DF6E38" w:rsidRPr="003479AB" w:rsidRDefault="00F17D03" w:rsidP="003479AB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тивності</w:t>
            </w:r>
            <w:proofErr w:type="spellEnd"/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Вигоди (підсумок)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Витрати (підсумок)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Обґрунтування відповідного місця альтернативи у рейтингу</w:t>
            </w:r>
          </w:p>
        </w:tc>
      </w:tr>
      <w:tr w:rsidR="003479AB" w:rsidRPr="003479AB" w:rsidTr="003479A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Альтернатива 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Органи місцевого самоврядування: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Вдосконалить відносини між Авдіївською міською ВЦА, органами податкової служби та суб’єктами господарювання, пов’язаних зі справлянням податку. </w:t>
            </w:r>
            <w:r w:rsidRPr="003479AB">
              <w:rPr>
                <w:color w:val="auto"/>
                <w:sz w:val="24"/>
              </w:rPr>
              <w:t xml:space="preserve">Встановлення ставок земельного податку врегулює питання законодавства, дозволить отримати надходження від земельного податку, що дозволить фінансувати покладені на Авдіївську міську ВЦА повноваження.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Формує позитивний імідж Авдіївської міської ВЦА у результаті встановлення соціально справедливого податкового навантаження для населення та суб’єктів господарювання. Забезпечує прозорість механізму справляння податку. Також будуть упорядковані відносини між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землевласниками,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 землекористувачами та органами влади з питань плати податку за земельні ділянки, які розташовані на території з обмеженим доступом. 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Громадяни: 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lastRenderedPageBreak/>
              <w:t>Непрямі вигоди полягають у спрямуванні коштів податку на соціально-економічний розвиток територіальної громади. Будуть упорядковані відносини між землевласниками і землекористувачами та органами влади з питань плати податку за земельні ділянки, які розташовані на території з обмеженим доступом, таким чином буде забезпечена підтримка громадян, які у зв’язку із соціально-політичною ситуацією, що склалася на території області, позбавлені можливості користуватися земельними ділянками та отримувати від цього дохід.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Суб’єкти господарювання:</w:t>
            </w:r>
          </w:p>
          <w:p w:rsid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Забезпечує прозорість </w:t>
            </w:r>
            <w:r>
              <w:rPr>
                <w:color w:val="auto"/>
                <w:szCs w:val="24"/>
                <w:lang w:val="uk-UA"/>
              </w:rPr>
              <w:t xml:space="preserve">механізму справляння </w:t>
            </w:r>
            <w:r w:rsidRPr="003479AB">
              <w:rPr>
                <w:color w:val="auto"/>
                <w:szCs w:val="24"/>
                <w:lang w:val="uk-UA"/>
              </w:rPr>
              <w:t xml:space="preserve">податку, збільшує привабливість та ефективне використання земельних ділянок, які знаходяться у власності та користуванні платників. </w:t>
            </w:r>
          </w:p>
          <w:p w:rsidR="00DF6E38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rFonts w:eastAsia="WenQuanYi Zen Hei;Times New Rom"/>
                <w:color w:val="auto"/>
                <w:szCs w:val="24"/>
                <w:lang w:val="uk-UA" w:bidi="hi-IN"/>
              </w:rPr>
              <w:t>Будуть упорядковані відносини між власниками</w:t>
            </w:r>
            <w:r>
              <w:rPr>
                <w:rFonts w:eastAsia="WenQuanYi Zen Hei;Times New Rom"/>
                <w:color w:val="auto"/>
                <w:szCs w:val="24"/>
                <w:lang w:val="uk-UA" w:bidi="hi-IN"/>
              </w:rPr>
              <w:t xml:space="preserve"> землі,</w:t>
            </w:r>
            <w:r w:rsidRPr="003479AB">
              <w:rPr>
                <w:rFonts w:eastAsia="WenQuanYi Zen Hei;Times New Rom"/>
                <w:color w:val="auto"/>
                <w:szCs w:val="24"/>
                <w:lang w:val="uk-UA" w:bidi="hi-IN"/>
              </w:rPr>
              <w:t xml:space="preserve"> користувачами та органами влади з питань плати податку за земельні ділянки, які розташовані на території з обмеженим доступом, таким чином буде забезпечена підтримка суб'єктів господарювання, які у зв’язку із соціально-політичною ситуацією, що склалася на те</w:t>
            </w:r>
            <w:r w:rsidR="002E64CF">
              <w:rPr>
                <w:rFonts w:eastAsia="WenQuanYi Zen Hei;Times New Rom"/>
                <w:color w:val="auto"/>
                <w:szCs w:val="24"/>
                <w:lang w:val="uk-UA" w:bidi="hi-IN"/>
              </w:rPr>
              <w:t xml:space="preserve">риторії області, позбавлені </w:t>
            </w:r>
            <w:r w:rsidRPr="003479AB">
              <w:rPr>
                <w:rFonts w:eastAsia="WenQuanYi Zen Hei;Times New Rom"/>
                <w:color w:val="auto"/>
                <w:szCs w:val="24"/>
                <w:lang w:val="uk-UA" w:bidi="hi-IN"/>
              </w:rPr>
              <w:t>можливості</w:t>
            </w:r>
            <w:r w:rsidR="002E64CF">
              <w:rPr>
                <w:rFonts w:eastAsia="WenQuanYi Zen Hei;Times New Rom"/>
                <w:color w:val="auto"/>
                <w:szCs w:val="24"/>
                <w:lang w:val="uk-UA" w:bidi="hi-IN"/>
              </w:rPr>
              <w:t xml:space="preserve"> користуватись </w:t>
            </w:r>
            <w:r w:rsidRPr="003479AB">
              <w:rPr>
                <w:rFonts w:eastAsia="WenQuanYi Zen Hei;Times New Rom"/>
                <w:color w:val="auto"/>
                <w:szCs w:val="24"/>
                <w:lang w:val="uk-UA" w:bidi="hi-IN"/>
              </w:rPr>
              <w:t>земельними ділянками та отримувати від цього дохід.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Органи місцевого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самоврядування: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витрати пов’язані із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розповсюдження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м розпорядження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організацію та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контролю за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надходженням коштів до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місцевого</w:t>
            </w:r>
          </w:p>
          <w:p w:rsid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бюджету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Громадяни: витрати</w:t>
            </w:r>
          </w:p>
          <w:p w:rsid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ідсутні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Суб’єкти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господарювання:</w:t>
            </w:r>
          </w:p>
          <w:p w:rsidR="003479AB" w:rsidRPr="003479AB" w:rsidRDefault="003479AB" w:rsidP="003479AB">
            <w:pPr>
              <w:pStyle w:val="af0"/>
              <w:jc w:val="both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 xml:space="preserve">Витрати пов’язані лише з отриманням первинної інформації про вимоги регулювання (час, який витрачається суб’єктом </w:t>
            </w:r>
            <w:r w:rsidRPr="003479AB">
              <w:rPr>
                <w:color w:val="auto"/>
                <w:sz w:val="24"/>
              </w:rPr>
              <w:lastRenderedPageBreak/>
              <w:t xml:space="preserve">господарювання на пошук нормативно правового акту в мережі Інтернет та ознайомлення з ним; за результатами консультацій). </w:t>
            </w:r>
          </w:p>
          <w:p w:rsidR="00DF6E38" w:rsidRPr="003479AB" w:rsidRDefault="00DF6E38" w:rsidP="003479AB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3479AB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Є найбільш оптимальною серед запропонованих альтернатив, оскільки дає змогу максимально досягнути поставлених цілей державного регулювання</w:t>
            </w:r>
          </w:p>
        </w:tc>
      </w:tr>
      <w:tr w:rsidR="003479AB" w:rsidRPr="003479AB" w:rsidTr="003479AB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f0"/>
              <w:widowContro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Альтернатива 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E38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відсутня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Органи місцевого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самоврядування: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відзначається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неузгодження з</w:t>
            </w:r>
          </w:p>
          <w:p w:rsidR="003479AB" w:rsidRDefault="003479AB" w:rsidP="003479AB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вимогами законодавства</w:t>
            </w:r>
            <w:r w:rsidRPr="003479AB">
              <w:rPr>
                <w:color w:val="auto"/>
                <w:sz w:val="24"/>
              </w:rPr>
              <w:t>.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Громадяни: Відсутні</w:t>
            </w:r>
          </w:p>
          <w:p w:rsidR="003479AB" w:rsidRDefault="003479AB" w:rsidP="003479AB">
            <w:pPr>
              <w:pStyle w:val="af0"/>
              <w:rPr>
                <w:color w:val="auto"/>
                <w:sz w:val="24"/>
              </w:rPr>
            </w:pP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Суб’єкти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господарювання:</w:t>
            </w:r>
          </w:p>
          <w:p w:rsidR="003479AB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 w:rsidRPr="003479AB">
              <w:rPr>
                <w:color w:val="auto"/>
                <w:sz w:val="24"/>
              </w:rPr>
              <w:t>Сплата місцевих</w:t>
            </w:r>
          </w:p>
          <w:p w:rsidR="00DF6E38" w:rsidRPr="003479AB" w:rsidRDefault="003479AB" w:rsidP="003479AB">
            <w:pPr>
              <w:pStyle w:val="af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податків до місцевого бюджету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79AB" w:rsidRPr="003479AB" w:rsidRDefault="003479AB" w:rsidP="003479AB">
            <w:pPr>
              <w:pStyle w:val="af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На відміну від</w:t>
            </w:r>
          </w:p>
          <w:p w:rsidR="003479AB" w:rsidRDefault="003479AB" w:rsidP="003479AB">
            <w:pPr>
              <w:pStyle w:val="af0"/>
              <w:ind w:left="-46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альтернатив</w:t>
            </w: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не дає змоги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досягнути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поставлених цілей</w:t>
            </w:r>
          </w:p>
          <w:p w:rsidR="003479AB" w:rsidRPr="003479AB" w:rsidRDefault="003479AB" w:rsidP="003479AB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державного</w:t>
            </w:r>
          </w:p>
          <w:p w:rsidR="00DF6E38" w:rsidRPr="003479AB" w:rsidRDefault="003479AB" w:rsidP="003479AB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Fonts w:ascii="Times New Roman" w:hAnsi="Times New Roman" w:cs="Times New Roman"/>
                <w:color w:val="auto"/>
                <w:sz w:val="24"/>
              </w:rPr>
              <w:t>регулювання</w:t>
            </w:r>
            <w:r w:rsidR="00F17D03" w:rsidRPr="003479AB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</w:tr>
    </w:tbl>
    <w:p w:rsidR="003479AB" w:rsidRPr="003479AB" w:rsidRDefault="003479AB">
      <w:pPr>
        <w:ind w:firstLine="708"/>
        <w:rPr>
          <w:color w:val="auto"/>
          <w:szCs w:val="24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3396"/>
      </w:tblGrid>
      <w:tr w:rsidR="003479AB" w:rsidRPr="003479AB" w:rsidTr="003479AB">
        <w:tc>
          <w:tcPr>
            <w:tcW w:w="1696" w:type="dxa"/>
          </w:tcPr>
          <w:p w:rsidR="003479AB" w:rsidRPr="003479AB" w:rsidRDefault="003479AB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4536" w:type="dxa"/>
          </w:tcPr>
          <w:p w:rsidR="003479AB" w:rsidRPr="003479AB" w:rsidRDefault="003479AB" w:rsidP="003479AB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396" w:type="dxa"/>
          </w:tcPr>
          <w:p w:rsidR="003479AB" w:rsidRPr="003479AB" w:rsidRDefault="003479AB">
            <w:pPr>
              <w:rPr>
                <w:color w:val="auto"/>
                <w:sz w:val="22"/>
                <w:szCs w:val="22"/>
                <w:lang w:val="uk-UA"/>
              </w:rPr>
            </w:pPr>
            <w:r w:rsidRPr="003479AB">
              <w:rPr>
                <w:color w:val="auto"/>
                <w:sz w:val="22"/>
                <w:szCs w:val="22"/>
                <w:lang w:val="uk-UA"/>
              </w:rPr>
              <w:t xml:space="preserve">Оцінка ризику зовнішніх чинників надію запропонованого регуляторного </w:t>
            </w:r>
            <w:proofErr w:type="spellStart"/>
            <w:r w:rsidRPr="003479AB">
              <w:rPr>
                <w:color w:val="auto"/>
                <w:sz w:val="22"/>
                <w:szCs w:val="22"/>
                <w:lang w:val="uk-UA"/>
              </w:rPr>
              <w:t>акта</w:t>
            </w:r>
            <w:proofErr w:type="spellEnd"/>
          </w:p>
        </w:tc>
      </w:tr>
      <w:tr w:rsidR="003479AB" w:rsidRPr="003479AB" w:rsidTr="003479AB">
        <w:tc>
          <w:tcPr>
            <w:tcW w:w="1696" w:type="dxa"/>
          </w:tcPr>
          <w:p w:rsidR="003479AB" w:rsidRPr="003479AB" w:rsidRDefault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Альтернатив</w:t>
            </w:r>
            <w:r>
              <w:rPr>
                <w:color w:val="auto"/>
                <w:szCs w:val="24"/>
                <w:lang w:val="uk-UA"/>
              </w:rPr>
              <w:t>а 1</w:t>
            </w:r>
          </w:p>
        </w:tc>
        <w:tc>
          <w:tcPr>
            <w:tcW w:w="4536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Для досягнення встановлених цілей державного регулювання, перевага була надана даній альтернативі оскільки проектом розпорядження запропоновано встановлення на законних підставах розмірів ставок податку та надання додаткових пільг </w:t>
            </w:r>
            <w:r>
              <w:rPr>
                <w:color w:val="auto"/>
                <w:szCs w:val="24"/>
                <w:lang w:val="uk-UA"/>
              </w:rPr>
              <w:t xml:space="preserve">землевласникам і </w:t>
            </w:r>
            <w:r w:rsidRPr="003479AB">
              <w:rPr>
                <w:color w:val="auto"/>
                <w:szCs w:val="24"/>
                <w:lang w:val="uk-UA"/>
              </w:rPr>
              <w:t>землекористувачам. Даний акт забезпечує прозорість механізму справляння податку, збільшує привабливість, та ефективне використання земельних ділянок, які знаходяться у власності та користуванні громадян та суб’єктів підприємництва. Упорядкує відносини між землекористувачами та органами місцевого самоврядування з питань плати за земельні ділянки, які розташовані в районі ведення бойових дій (або на яких відбувається подолання їх наслідків); вздовж лінії зіткнення поблизу окупованих територій; на яких розташовані інженерні (фортифікаційні) споруди; розташовані на територіях, доступ до яких заборонений військовими. Крім цього у зв’язку з надмірним податковим навантаженням буде виникати заборгованість зі сплати податку і як наслідок виникнення соціальної напруги населення.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Встановлення доцільних і обґрунтованих розмірів ставок земельного податку, з урахуванням платоспроможності суб’єктів господарювання, забезпечить стабільні надходження податків до місцевого бюджету Авдіївської міської територіальної громади, а встановлення пільг нестиме більш прийнятне соціально справедливе податкове навантаження для суб’єктів господарювання, що важливе як для суб’єктів господарювання так і для органів влади. Тобто даною альтернативою буде досягнуто балансу інтересів між суб’єктами господарювання, органами влади, громадянами.</w:t>
            </w:r>
          </w:p>
        </w:tc>
        <w:tc>
          <w:tcPr>
            <w:tcW w:w="3396" w:type="dxa"/>
          </w:tcPr>
          <w:p w:rsidR="003479AB" w:rsidRPr="003479AB" w:rsidRDefault="003479AB" w:rsidP="003479AB">
            <w:pPr>
              <w:jc w:val="left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Проект рішення є нормативно-правовим актом, зовнішніми факторами впливу на його дію є внесення змін до  Податкового кодексу України або виникнення необхідності в нормативному врегулюванні певних правовідносин. Індикаторами можуть бути процеси та явища соціально</w:t>
            </w:r>
            <w:r>
              <w:rPr>
                <w:color w:val="auto"/>
                <w:szCs w:val="24"/>
                <w:lang w:val="uk-UA"/>
              </w:rPr>
              <w:t>-</w:t>
            </w:r>
            <w:r w:rsidRPr="003479AB">
              <w:rPr>
                <w:color w:val="auto"/>
                <w:szCs w:val="24"/>
                <w:lang w:val="uk-UA"/>
              </w:rPr>
              <w:t xml:space="preserve"> економічного характеру (прискорення або уповільнення змін економічного зростання, політичні впливи, дефіцит, ресурсів тощо</w:t>
            </w:r>
          </w:p>
        </w:tc>
      </w:tr>
      <w:tr w:rsidR="003479AB" w:rsidRPr="003479AB" w:rsidTr="003479AB">
        <w:tc>
          <w:tcPr>
            <w:tcW w:w="1696" w:type="dxa"/>
          </w:tcPr>
          <w:p w:rsidR="003479AB" w:rsidRPr="003479AB" w:rsidRDefault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4536" w:type="dxa"/>
          </w:tcPr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Альтернатива 2 не дає можливості досягнути поставлених цілей державного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регулювання, на відміну від альтернативи</w:t>
            </w:r>
            <w:r>
              <w:rPr>
                <w:color w:val="auto"/>
                <w:szCs w:val="24"/>
                <w:lang w:val="uk-UA"/>
              </w:rPr>
              <w:t xml:space="preserve"> </w:t>
            </w:r>
            <w:r w:rsidRPr="003479AB">
              <w:rPr>
                <w:color w:val="auto"/>
                <w:szCs w:val="24"/>
                <w:lang w:val="uk-UA"/>
              </w:rPr>
              <w:t xml:space="preserve">1. </w:t>
            </w:r>
            <w:r>
              <w:rPr>
                <w:color w:val="auto"/>
                <w:szCs w:val="24"/>
                <w:lang w:val="uk-UA"/>
              </w:rPr>
              <w:t xml:space="preserve"> </w:t>
            </w:r>
            <w:r w:rsidRPr="003479AB">
              <w:rPr>
                <w:color w:val="auto"/>
                <w:szCs w:val="24"/>
                <w:lang w:val="uk-UA"/>
              </w:rPr>
              <w:t xml:space="preserve">У разі не прийняття регуляторного акту </w:t>
            </w:r>
            <w:r>
              <w:rPr>
                <w:color w:val="auto"/>
                <w:szCs w:val="24"/>
                <w:lang w:val="uk-UA"/>
              </w:rPr>
              <w:t xml:space="preserve">громадяни та </w:t>
            </w:r>
            <w:r w:rsidRPr="003479AB">
              <w:rPr>
                <w:color w:val="auto"/>
                <w:szCs w:val="24"/>
                <w:lang w:val="uk-UA"/>
              </w:rPr>
              <w:t xml:space="preserve">частина суб’єктів </w:t>
            </w:r>
            <w:r>
              <w:rPr>
                <w:color w:val="auto"/>
                <w:szCs w:val="24"/>
                <w:lang w:val="uk-UA"/>
              </w:rPr>
              <w:t>господарювання</w:t>
            </w:r>
            <w:r w:rsidRPr="003479AB">
              <w:rPr>
                <w:color w:val="auto"/>
                <w:szCs w:val="24"/>
                <w:lang w:val="uk-UA"/>
              </w:rPr>
              <w:t xml:space="preserve"> буде позбавлена можливості отримувати пільги з земельног</w:t>
            </w:r>
            <w:r>
              <w:rPr>
                <w:color w:val="auto"/>
                <w:szCs w:val="24"/>
                <w:lang w:val="uk-UA"/>
              </w:rPr>
              <w:t xml:space="preserve">о податку. </w:t>
            </w:r>
            <w:r w:rsidRPr="003479AB">
              <w:rPr>
                <w:color w:val="auto"/>
                <w:szCs w:val="24"/>
                <w:lang w:val="uk-UA"/>
              </w:rPr>
              <w:t>Складна фінансово-економічна ситуація не повинна призводити до порушення гідності людини, яка належить до фундаментальних цінностей, захищених Конституцією України</w:t>
            </w:r>
          </w:p>
          <w:p w:rsidR="003479AB" w:rsidRPr="003479AB" w:rsidRDefault="003479AB" w:rsidP="003479AB">
            <w:pPr>
              <w:rPr>
                <w:color w:val="auto"/>
                <w:szCs w:val="24"/>
                <w:lang w:val="uk-UA"/>
              </w:rPr>
            </w:pPr>
          </w:p>
        </w:tc>
        <w:tc>
          <w:tcPr>
            <w:tcW w:w="3396" w:type="dxa"/>
          </w:tcPr>
          <w:p w:rsidR="003479AB" w:rsidRPr="003479AB" w:rsidRDefault="003479AB" w:rsidP="003479AB">
            <w:pPr>
              <w:jc w:val="left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Проект рішення є нормативно-правовим актом, зовнішніми факторами впливу </w:t>
            </w:r>
            <w:r>
              <w:rPr>
                <w:color w:val="auto"/>
                <w:szCs w:val="24"/>
                <w:lang w:val="uk-UA"/>
              </w:rPr>
              <w:t xml:space="preserve">на його дію є внесення змін до </w:t>
            </w:r>
            <w:r w:rsidRPr="003479AB">
              <w:rPr>
                <w:color w:val="auto"/>
                <w:szCs w:val="24"/>
                <w:lang w:val="uk-UA"/>
              </w:rPr>
              <w:t>Податкового кодексу України або виникнення необхідності в нормативному врегулюванні певних правовідносин. Індикаторами можуть бути процеси та явища соціально економічного характеру (прискорення або уповільнення змін економічного зростання, політичні впливи, дефіцит, ресурсів тощо</w:t>
            </w:r>
          </w:p>
        </w:tc>
      </w:tr>
    </w:tbl>
    <w:p w:rsidR="00DF6E38" w:rsidRDefault="00F17D03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Як вбачається з вищенаведеного, єдиним оптимальним способом досягнення цілей є альтернатива №1 – прийняття запропонованого регуляторного акту.</w:t>
      </w:r>
    </w:p>
    <w:p w:rsidR="002E64CF" w:rsidRPr="003479AB" w:rsidRDefault="002E64CF">
      <w:pPr>
        <w:ind w:firstLine="708"/>
        <w:rPr>
          <w:color w:val="auto"/>
          <w:szCs w:val="24"/>
          <w:lang w:val="uk-UA"/>
        </w:rPr>
      </w:pPr>
    </w:p>
    <w:p w:rsidR="00DF6E38" w:rsidRPr="003479AB" w:rsidRDefault="00F17D03" w:rsidP="003479AB">
      <w:pPr>
        <w:ind w:firstLine="709"/>
        <w:jc w:val="center"/>
        <w:rPr>
          <w:rStyle w:val="rvts15"/>
          <w:b/>
          <w:caps/>
          <w:color w:val="auto"/>
          <w:szCs w:val="24"/>
          <w:lang w:val="uk-UA"/>
        </w:rPr>
      </w:pPr>
      <w:r w:rsidRPr="003479AB">
        <w:rPr>
          <w:rStyle w:val="rvts15"/>
          <w:b/>
          <w:caps/>
          <w:color w:val="auto"/>
          <w:szCs w:val="24"/>
          <w:lang w:val="uk-UA"/>
        </w:rPr>
        <w:t>V. Механізми та заходи, які забезпечать розв’язання визначеної проблеми</w:t>
      </w:r>
    </w:p>
    <w:p w:rsidR="003479AB" w:rsidRPr="003479AB" w:rsidRDefault="003479AB" w:rsidP="003479AB">
      <w:pPr>
        <w:ind w:firstLine="709"/>
        <w:jc w:val="center"/>
        <w:rPr>
          <w:rStyle w:val="rvts15"/>
          <w:b/>
          <w:caps/>
          <w:color w:val="auto"/>
          <w:szCs w:val="24"/>
          <w:lang w:val="uk-UA"/>
        </w:rPr>
      </w:pPr>
    </w:p>
    <w:p w:rsidR="00DF6E38" w:rsidRPr="003479AB" w:rsidRDefault="00F17D03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Механізмом розв’язання визначеної проблеми є прийняття</w:t>
      </w:r>
      <w:r w:rsidR="003479AB" w:rsidRPr="003479AB">
        <w:rPr>
          <w:color w:val="auto"/>
          <w:szCs w:val="24"/>
          <w:lang w:val="uk-UA"/>
        </w:rPr>
        <w:t>,</w:t>
      </w:r>
      <w:r w:rsidRPr="003479AB">
        <w:rPr>
          <w:color w:val="auto"/>
          <w:szCs w:val="24"/>
          <w:lang w:val="uk-UA"/>
        </w:rPr>
        <w:t xml:space="preserve"> </w:t>
      </w:r>
      <w:r w:rsidR="003479AB" w:rsidRPr="003479AB">
        <w:rPr>
          <w:bCs/>
          <w:color w:val="auto"/>
          <w:szCs w:val="24"/>
          <w:lang w:val="uk-UA"/>
        </w:rPr>
        <w:t xml:space="preserve">відповідно до Податкового кодексу України, </w:t>
      </w:r>
      <w:r w:rsidRPr="003479AB">
        <w:rPr>
          <w:color w:val="auto"/>
          <w:szCs w:val="24"/>
          <w:lang w:val="uk-UA"/>
        </w:rPr>
        <w:t>розпорядження керівника Авдіївської міської військово-цивільної адміністрації Покровського району Донецької обл</w:t>
      </w:r>
      <w:r w:rsidR="003479AB" w:rsidRPr="003479AB">
        <w:rPr>
          <w:color w:val="auto"/>
          <w:szCs w:val="24"/>
          <w:lang w:val="uk-UA"/>
        </w:rPr>
        <w:t>асті «</w:t>
      </w:r>
      <w:r w:rsidRPr="003479AB">
        <w:rPr>
          <w:color w:val="auto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r w:rsidRPr="003479AB">
        <w:rPr>
          <w:bCs/>
          <w:color w:val="auto"/>
          <w:szCs w:val="24"/>
          <w:lang w:val="uk-UA" w:eastAsia="ru-RU"/>
        </w:rPr>
        <w:t>Авдіївської міської територіальної громади</w:t>
      </w:r>
      <w:r w:rsidR="003479AB" w:rsidRPr="003479AB">
        <w:rPr>
          <w:color w:val="auto"/>
          <w:szCs w:val="24"/>
          <w:lang w:val="uk-UA"/>
        </w:rPr>
        <w:t>»</w:t>
      </w:r>
      <w:r w:rsidRPr="003479AB">
        <w:rPr>
          <w:color w:val="auto"/>
          <w:szCs w:val="24"/>
          <w:lang w:val="uk-UA"/>
        </w:rPr>
        <w:t>.</w:t>
      </w:r>
    </w:p>
    <w:p w:rsidR="003479AB" w:rsidRPr="003479AB" w:rsidRDefault="00F17D03" w:rsidP="002E64CF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Запропонований нормативно-правовий акт відповідає принципам державної регуляторної політики, а саме: доцільності, адекватності, ефективності, збалансованості, передбачуваності, принципу прозорості та врахування громадської думки.</w:t>
      </w:r>
      <w:r w:rsidR="003479AB" w:rsidRPr="003479AB">
        <w:rPr>
          <w:color w:val="auto"/>
          <w:szCs w:val="24"/>
          <w:lang w:val="uk-UA"/>
        </w:rPr>
        <w:t xml:space="preserve"> яке передбачає </w:t>
      </w:r>
      <w:r w:rsidR="002E64CF">
        <w:rPr>
          <w:color w:val="auto"/>
          <w:szCs w:val="24"/>
          <w:lang w:val="uk-UA"/>
        </w:rPr>
        <w:t xml:space="preserve">встановлення ставок податку та </w:t>
      </w:r>
      <w:r w:rsidR="003479AB" w:rsidRPr="003479AB">
        <w:rPr>
          <w:color w:val="auto"/>
          <w:szCs w:val="24"/>
          <w:lang w:val="uk-UA"/>
        </w:rPr>
        <w:t xml:space="preserve">надання </w:t>
      </w:r>
      <w:r w:rsidR="002E64CF">
        <w:rPr>
          <w:color w:val="auto"/>
          <w:szCs w:val="24"/>
          <w:lang w:val="uk-UA"/>
        </w:rPr>
        <w:t>100 відсоткової</w:t>
      </w:r>
      <w:r w:rsidR="003479AB" w:rsidRPr="003479AB">
        <w:rPr>
          <w:color w:val="auto"/>
          <w:szCs w:val="24"/>
          <w:lang w:val="uk-UA"/>
        </w:rPr>
        <w:t xml:space="preserve"> пільги по сплаті земельного податку</w:t>
      </w:r>
      <w:r w:rsidR="002E64CF">
        <w:rPr>
          <w:color w:val="auto"/>
          <w:szCs w:val="24"/>
          <w:lang w:val="uk-UA"/>
        </w:rPr>
        <w:t>,</w:t>
      </w:r>
      <w:r w:rsidR="003479AB" w:rsidRPr="003479AB">
        <w:rPr>
          <w:color w:val="auto"/>
          <w:szCs w:val="24"/>
          <w:lang w:val="uk-UA"/>
        </w:rPr>
        <w:t xml:space="preserve"> відповідно до пункту 12.3 статті 12 та пункту 30.2 статті 30 Податкового кодексу України</w:t>
      </w:r>
      <w:r w:rsidR="0095011C">
        <w:rPr>
          <w:color w:val="auto"/>
          <w:szCs w:val="24"/>
          <w:lang w:val="uk-UA"/>
        </w:rPr>
        <w:t>,</w:t>
      </w:r>
      <w:r w:rsidR="003479AB" w:rsidRPr="003479AB">
        <w:rPr>
          <w:color w:val="auto"/>
          <w:szCs w:val="24"/>
          <w:lang w:val="uk-UA"/>
        </w:rPr>
        <w:t xml:space="preserve"> фізичним та юридичним особам, які є власниками та користувачами земельних ділянок, в</w:t>
      </w:r>
      <w:r w:rsidR="002E64CF">
        <w:rPr>
          <w:color w:val="auto"/>
          <w:szCs w:val="24"/>
          <w:lang w:val="uk-UA"/>
        </w:rPr>
        <w:t xml:space="preserve"> </w:t>
      </w:r>
      <w:r w:rsidR="003479AB" w:rsidRPr="003479AB">
        <w:rPr>
          <w:color w:val="auto"/>
          <w:szCs w:val="24"/>
          <w:lang w:val="uk-UA"/>
        </w:rPr>
        <w:t>тому числі сільськогосподарського призначення, та з незалежних від них причин, пов’язаних з проведенням на території області антитерористичної операції, операції Об’єднаних сил, розташуванням інжен</w:t>
      </w:r>
      <w:r w:rsidR="002E64CF">
        <w:rPr>
          <w:color w:val="auto"/>
          <w:szCs w:val="24"/>
          <w:lang w:val="uk-UA"/>
        </w:rPr>
        <w:t>ерних (фортифікаційних) споруд</w:t>
      </w:r>
      <w:r w:rsidR="0095011C">
        <w:rPr>
          <w:color w:val="auto"/>
          <w:szCs w:val="24"/>
          <w:lang w:val="uk-UA"/>
        </w:rPr>
        <w:t>, або</w:t>
      </w:r>
      <w:r w:rsidR="003479AB" w:rsidRPr="003479AB">
        <w:rPr>
          <w:color w:val="auto"/>
          <w:szCs w:val="24"/>
          <w:lang w:val="uk-UA"/>
        </w:rPr>
        <w:t xml:space="preserve"> територіях, доступ д</w:t>
      </w:r>
      <w:r w:rsidR="002E64CF">
        <w:rPr>
          <w:color w:val="auto"/>
          <w:szCs w:val="24"/>
          <w:lang w:val="uk-UA"/>
        </w:rPr>
        <w:t xml:space="preserve">о яких заборонений військовими, </w:t>
      </w:r>
      <w:r w:rsidR="002E64CF" w:rsidRPr="003479AB">
        <w:rPr>
          <w:color w:val="auto"/>
          <w:szCs w:val="24"/>
          <w:lang w:val="uk-UA"/>
        </w:rPr>
        <w:t>позбавлені права їх використовувати</w:t>
      </w:r>
      <w:r w:rsidR="0095011C">
        <w:rPr>
          <w:color w:val="auto"/>
          <w:szCs w:val="24"/>
          <w:lang w:val="uk-UA"/>
        </w:rPr>
        <w:t>.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Інші елементи податків (зокрема платники податку, 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податку) та відносини, що виникають у сфері справляння податків визначено на рівні Податкового кодексу України. 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Цей спосіб досягнення цілей є оптимальним шляхом вирішення проблеми й ґрунтується на загальнообов’язковості виконання норм рішення всіма учасниками правовідносин у системі оподаткування. 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Кодексом визначено платників податку: власників земельних ділянок, земельних часток (паїв) та землекористувачів. 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При здійсненні регуляторної діяльності розглядаються обґрунтовані пропозиції та зауваження до проекту рішення, надані суб’єктами господарювання, представниками територіальної громади в установленому законом порядку. </w:t>
      </w:r>
    </w:p>
    <w:p w:rsidR="004604E2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Задля забезпечення виконання вимог чинного законодавства України, інформування громадськості відносно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здійснюється на офіційній веб-сторінці Авдіївської міської військово-цивільно</w:t>
      </w:r>
      <w:r w:rsidR="0095011C">
        <w:rPr>
          <w:color w:val="auto"/>
          <w:szCs w:val="24"/>
          <w:lang w:val="uk-UA"/>
        </w:rPr>
        <w:t xml:space="preserve">ї адміністрації </w:t>
      </w:r>
      <w:r w:rsidR="0095011C" w:rsidRPr="0095011C">
        <w:rPr>
          <w:color w:val="auto"/>
          <w:szCs w:val="24"/>
          <w:u w:val="single"/>
          <w:lang w:val="uk-UA"/>
        </w:rPr>
        <w:t>avd.v@dn.gov.ua</w:t>
      </w:r>
      <w:r w:rsidR="0095011C" w:rsidRPr="0095011C">
        <w:rPr>
          <w:color w:val="auto"/>
          <w:szCs w:val="24"/>
          <w:lang w:val="uk-UA"/>
        </w:rPr>
        <w:t>.</w:t>
      </w:r>
      <w:r w:rsidRPr="003479AB">
        <w:rPr>
          <w:color w:val="auto"/>
          <w:szCs w:val="24"/>
          <w:lang w:val="uk-UA"/>
        </w:rPr>
        <w:t xml:space="preserve"> 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З метою забезпечення інформованості громади та суб’єктів господарювання </w:t>
      </w:r>
      <w:r w:rsidRPr="003479AB">
        <w:rPr>
          <w:color w:val="auto"/>
          <w:szCs w:val="24"/>
          <w:lang w:val="uk-UA"/>
        </w:rPr>
        <w:lastRenderedPageBreak/>
        <w:t>розпорядження керівника Авдіївської міської ВЦА передбачається оприлюднити в газеті.</w:t>
      </w:r>
      <w:r w:rsidR="0095011C" w:rsidRPr="0095011C">
        <w:t xml:space="preserve"> </w:t>
      </w:r>
      <w:r w:rsidR="0095011C">
        <w:rPr>
          <w:color w:val="auto"/>
          <w:szCs w:val="24"/>
          <w:lang w:val="uk-UA"/>
        </w:rPr>
        <w:t>«Авдіївський вісник +».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Таким чином, упровадження регуляторного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 xml:space="preserve"> забезпечить дотримання норм чинного податкового законодавства як органами державної податкової служби, органами місцевого самоврядування, так і суб’єктами господарювання, у порядку та на умовах, визначених Кодексом і цим регуляторним актом.</w:t>
      </w: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Тобто, прийняття розпорядження керівника Авдіївської міської ВЦА «Про встановлення ставок та пільг із сплати земельного податку на території Авдіївської міської територіальної громади» є єдиним і безумовним шляхом вирішення проблеми і ґрунтується на загальнообов’язковості виконання всіма учасниками правовідносин у системі оподаткування норм зазначеного рішення. </w:t>
      </w:r>
    </w:p>
    <w:p w:rsidR="00DF6E38" w:rsidRPr="003479AB" w:rsidRDefault="00DF6E38" w:rsidP="003479AB">
      <w:pPr>
        <w:ind w:firstLine="709"/>
        <w:rPr>
          <w:color w:val="auto"/>
          <w:szCs w:val="24"/>
          <w:lang w:val="uk-UA"/>
        </w:rPr>
      </w:pPr>
    </w:p>
    <w:p w:rsidR="00DF6E38" w:rsidRDefault="00F17D03">
      <w:pPr>
        <w:pStyle w:val="Style21"/>
        <w:widowControl/>
        <w:spacing w:line="240" w:lineRule="auto"/>
        <w:ind w:firstLine="720"/>
        <w:jc w:val="center"/>
        <w:rPr>
          <w:b/>
          <w:bCs/>
          <w:caps/>
          <w:color w:val="auto"/>
        </w:rPr>
      </w:pPr>
      <w:r w:rsidRPr="003479AB">
        <w:rPr>
          <w:b/>
          <w:bCs/>
          <w:caps/>
          <w:color w:val="auto"/>
        </w:rPr>
        <w:t>VІ.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5011C" w:rsidRPr="003479AB" w:rsidRDefault="0095011C">
      <w:pPr>
        <w:pStyle w:val="Style21"/>
        <w:widowControl/>
        <w:spacing w:line="240" w:lineRule="auto"/>
        <w:ind w:firstLine="720"/>
        <w:jc w:val="center"/>
        <w:rPr>
          <w:caps/>
          <w:color w:val="auto"/>
        </w:rPr>
      </w:pPr>
    </w:p>
    <w:p w:rsidR="00DF6E38" w:rsidRPr="003479AB" w:rsidRDefault="00F17D03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Витрати на виконання вимог регуляторного акту для Авдіївської міської </w:t>
      </w:r>
      <w:r w:rsidR="003479AB" w:rsidRPr="003479AB">
        <w:rPr>
          <w:color w:val="auto"/>
          <w:szCs w:val="24"/>
          <w:lang w:val="uk-UA"/>
        </w:rPr>
        <w:t>ВЦА</w:t>
      </w:r>
      <w:r w:rsidRPr="003479AB">
        <w:rPr>
          <w:color w:val="auto"/>
          <w:szCs w:val="24"/>
          <w:lang w:val="uk-UA"/>
        </w:rPr>
        <w:t xml:space="preserve"> відсутні.</w:t>
      </w:r>
    </w:p>
    <w:p w:rsidR="00DF6E38" w:rsidRPr="003479AB" w:rsidRDefault="00F17D03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Питома вага суб’єктів малого підприємництва у загальній кількості суб’єктів господарювання, на яких поши</w:t>
      </w:r>
      <w:r w:rsidR="0095011C">
        <w:rPr>
          <w:color w:val="auto"/>
          <w:szCs w:val="24"/>
          <w:lang w:val="uk-UA"/>
        </w:rPr>
        <w:t>рюється регулювання, становить 98</w:t>
      </w:r>
      <w:r w:rsidRPr="003479AB">
        <w:rPr>
          <w:color w:val="auto"/>
          <w:szCs w:val="24"/>
          <w:lang w:val="uk-UA"/>
        </w:rPr>
        <w:t xml:space="preserve"> %, тому було здійснено розрахунок витрат на запровадження державного регулювання для суб’єктів малого підприємництва (Тест малого підприємництва), який наведено у Додатку 2.</w:t>
      </w:r>
    </w:p>
    <w:p w:rsidR="00DF6E38" w:rsidRPr="003479AB" w:rsidRDefault="00DF6E38">
      <w:pPr>
        <w:ind w:firstLine="709"/>
        <w:rPr>
          <w:color w:val="auto"/>
          <w:szCs w:val="24"/>
          <w:lang w:val="uk-UA"/>
        </w:rPr>
      </w:pPr>
    </w:p>
    <w:p w:rsidR="00DF6E38" w:rsidRPr="003479AB" w:rsidRDefault="00F17D03">
      <w:pPr>
        <w:pStyle w:val="Style21"/>
        <w:widowControl/>
        <w:spacing w:line="240" w:lineRule="auto"/>
        <w:ind w:firstLine="720"/>
        <w:jc w:val="center"/>
        <w:rPr>
          <w:caps/>
          <w:color w:val="auto"/>
        </w:rPr>
      </w:pPr>
      <w:r w:rsidRPr="003479AB">
        <w:rPr>
          <w:b/>
          <w:bCs/>
          <w:caps/>
          <w:color w:val="auto"/>
        </w:rPr>
        <w:t>VІ</w:t>
      </w:r>
      <w:r w:rsidRPr="003479AB">
        <w:rPr>
          <w:rStyle w:val="FontStyle41"/>
          <w:caps/>
          <w:color w:val="auto"/>
          <w:sz w:val="24"/>
          <w:szCs w:val="24"/>
        </w:rPr>
        <w:t>І. Обґрунтування запропонованого строку дії регуляторного акту</w:t>
      </w:r>
    </w:p>
    <w:p w:rsidR="00DF6E38" w:rsidRPr="003479AB" w:rsidRDefault="00DF6E38">
      <w:pPr>
        <w:ind w:firstLine="709"/>
        <w:rPr>
          <w:color w:val="auto"/>
          <w:szCs w:val="24"/>
          <w:lang w:val="uk-UA"/>
        </w:rPr>
      </w:pPr>
    </w:p>
    <w:p w:rsidR="003479AB" w:rsidRPr="003479AB" w:rsidRDefault="003479AB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Законом України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="00C00B6F" w:rsidRPr="003479AB">
        <w:rPr>
          <w:color w:val="auto"/>
          <w:szCs w:val="24"/>
          <w:lang w:val="uk-UA"/>
        </w:rPr>
        <w:t>неузгодженосте</w:t>
      </w:r>
      <w:r w:rsidR="00C00B6F">
        <w:rPr>
          <w:color w:val="auto"/>
          <w:szCs w:val="24"/>
          <w:lang w:val="uk-UA"/>
        </w:rPr>
        <w:t>й</w:t>
      </w:r>
      <w:proofErr w:type="spellEnd"/>
      <w:r w:rsidRPr="003479AB">
        <w:rPr>
          <w:color w:val="auto"/>
          <w:szCs w:val="24"/>
          <w:lang w:val="uk-UA"/>
        </w:rPr>
        <w:t xml:space="preserve"> у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податковому законодавстві» (№466-ІХ) визначено, що у рішенні про встановлення місцевих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податків та/або зборів, а також податкових пільг з їх сплати може не визначатися термін його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дії. У такому випадку рішення буде чинним до прийняття нового рішення (абзац другий пп.12.3.3 п.12.3 ст.12). Також Законом скасований обов’язок щорічного прийняття рішень про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встановлення місцевих податків та/або зборів. 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Термін дії запропонованого регуляторного акту – необмежений.</w:t>
      </w:r>
    </w:p>
    <w:p w:rsidR="00DF6E38" w:rsidRPr="003479AB" w:rsidRDefault="00F17D03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У випадку внесення змін до чинного </w:t>
      </w:r>
      <w:r w:rsidR="003479AB" w:rsidRPr="003479AB">
        <w:rPr>
          <w:color w:val="auto"/>
          <w:szCs w:val="24"/>
          <w:lang w:val="uk-UA"/>
        </w:rPr>
        <w:t xml:space="preserve">податкового </w:t>
      </w:r>
      <w:r w:rsidRPr="003479AB">
        <w:rPr>
          <w:color w:val="auto"/>
          <w:szCs w:val="24"/>
          <w:lang w:val="uk-UA"/>
        </w:rPr>
        <w:t>законодавства</w:t>
      </w:r>
      <w:r w:rsidR="003479AB" w:rsidRPr="003479AB">
        <w:rPr>
          <w:color w:val="auto"/>
          <w:szCs w:val="24"/>
          <w:lang w:val="uk-UA"/>
        </w:rPr>
        <w:t xml:space="preserve"> на державному рівні</w:t>
      </w:r>
      <w:r w:rsidRPr="003479AB">
        <w:rPr>
          <w:color w:val="auto"/>
          <w:szCs w:val="24"/>
          <w:lang w:val="uk-UA"/>
        </w:rPr>
        <w:t>, на підставі якого підготовлено цей регуляторний акт або в разі виникнення потреби за підсумками аналізу відстеження його результативності, регуляторний акт буде переглянутий із внесенням до нього відповідних змін.</w:t>
      </w:r>
    </w:p>
    <w:p w:rsidR="00DF6E38" w:rsidRPr="003479AB" w:rsidRDefault="00DF6E38">
      <w:pPr>
        <w:rPr>
          <w:color w:val="auto"/>
          <w:szCs w:val="24"/>
          <w:lang w:val="uk-UA"/>
        </w:rPr>
      </w:pPr>
    </w:p>
    <w:p w:rsidR="00DF6E38" w:rsidRPr="003479AB" w:rsidRDefault="00F17D03">
      <w:pPr>
        <w:jc w:val="center"/>
        <w:rPr>
          <w:rStyle w:val="rvts15"/>
          <w:b/>
          <w:caps/>
          <w:color w:val="auto"/>
          <w:szCs w:val="24"/>
          <w:lang w:val="uk-UA"/>
        </w:rPr>
      </w:pPr>
      <w:r w:rsidRPr="003479AB">
        <w:rPr>
          <w:rStyle w:val="rvts15"/>
          <w:b/>
          <w:caps/>
          <w:color w:val="auto"/>
          <w:szCs w:val="24"/>
          <w:lang w:val="uk-UA"/>
        </w:rPr>
        <w:t>VIII. Визначення показників результативності дії регуляторного акту</w:t>
      </w:r>
    </w:p>
    <w:p w:rsidR="003479AB" w:rsidRPr="003479AB" w:rsidRDefault="003479AB">
      <w:pPr>
        <w:jc w:val="center"/>
        <w:rPr>
          <w:caps/>
          <w:color w:val="auto"/>
          <w:szCs w:val="24"/>
          <w:lang w:val="uk-UA"/>
        </w:rPr>
      </w:pPr>
    </w:p>
    <w:p w:rsidR="003479AB" w:rsidRPr="003479AB" w:rsidRDefault="003479AB" w:rsidP="003479AB">
      <w:pPr>
        <w:ind w:firstLine="708"/>
        <w:rPr>
          <w:rStyle w:val="rvts15"/>
          <w:color w:val="auto"/>
          <w:szCs w:val="24"/>
          <w:lang w:val="uk-UA"/>
        </w:rPr>
      </w:pPr>
      <w:r w:rsidRPr="003479AB">
        <w:rPr>
          <w:rStyle w:val="rvts15"/>
          <w:color w:val="auto"/>
          <w:szCs w:val="24"/>
          <w:lang w:val="uk-UA"/>
        </w:rPr>
        <w:t xml:space="preserve">Досягнення визначених цілей шляхом виконання вимог регуляторного </w:t>
      </w:r>
      <w:proofErr w:type="spellStart"/>
      <w:r w:rsidRPr="003479AB">
        <w:rPr>
          <w:rStyle w:val="rvts15"/>
          <w:color w:val="auto"/>
          <w:szCs w:val="24"/>
          <w:lang w:val="uk-UA"/>
        </w:rPr>
        <w:t>акта</w:t>
      </w:r>
      <w:proofErr w:type="spellEnd"/>
      <w:r w:rsidRPr="003479AB">
        <w:rPr>
          <w:rStyle w:val="rvts15"/>
          <w:color w:val="auto"/>
          <w:szCs w:val="24"/>
          <w:lang w:val="uk-UA"/>
        </w:rPr>
        <w:t xml:space="preserve"> забезпечить надходження до місцевого бюджету коштів для виконання заходів, передбачених програмами розвитку.</w:t>
      </w:r>
    </w:p>
    <w:p w:rsidR="003479AB" w:rsidRPr="003479AB" w:rsidRDefault="003479AB" w:rsidP="003479AB">
      <w:pPr>
        <w:ind w:firstLine="708"/>
        <w:rPr>
          <w:rStyle w:val="rvts15"/>
          <w:color w:val="auto"/>
          <w:szCs w:val="24"/>
          <w:lang w:val="uk-UA"/>
        </w:rPr>
      </w:pPr>
      <w:r w:rsidRPr="003479AB">
        <w:rPr>
          <w:rStyle w:val="rvts15"/>
          <w:color w:val="auto"/>
          <w:szCs w:val="24"/>
          <w:lang w:val="uk-UA"/>
        </w:rPr>
        <w:t xml:space="preserve">Визначення показників результативності дії регуляторного </w:t>
      </w:r>
      <w:proofErr w:type="spellStart"/>
      <w:r w:rsidRPr="003479AB">
        <w:rPr>
          <w:rStyle w:val="rvts15"/>
          <w:color w:val="auto"/>
          <w:szCs w:val="24"/>
          <w:lang w:val="uk-UA"/>
        </w:rPr>
        <w:t>акта</w:t>
      </w:r>
      <w:proofErr w:type="spellEnd"/>
      <w:r w:rsidRPr="003479AB">
        <w:rPr>
          <w:rStyle w:val="rvts15"/>
          <w:color w:val="auto"/>
          <w:szCs w:val="24"/>
          <w:lang w:val="uk-UA"/>
        </w:rPr>
        <w:t xml:space="preserve"> буде проводитись за</w:t>
      </w:r>
    </w:p>
    <w:p w:rsidR="003479AB" w:rsidRPr="003479AB" w:rsidRDefault="003479AB" w:rsidP="003479AB">
      <w:pPr>
        <w:rPr>
          <w:rStyle w:val="rvts15"/>
          <w:color w:val="auto"/>
          <w:szCs w:val="24"/>
          <w:lang w:val="uk-UA"/>
        </w:rPr>
      </w:pPr>
      <w:r w:rsidRPr="003479AB">
        <w:rPr>
          <w:rStyle w:val="rvts15"/>
          <w:color w:val="auto"/>
          <w:szCs w:val="24"/>
          <w:lang w:val="uk-UA"/>
        </w:rPr>
        <w:t>допомогою статистичного методу.</w:t>
      </w:r>
    </w:p>
    <w:p w:rsidR="00DF6E38" w:rsidRDefault="003479AB" w:rsidP="003479AB">
      <w:pPr>
        <w:ind w:firstLine="708"/>
        <w:rPr>
          <w:rStyle w:val="rvts15"/>
          <w:color w:val="auto"/>
          <w:szCs w:val="24"/>
          <w:lang w:val="uk-UA"/>
        </w:rPr>
      </w:pPr>
      <w:r w:rsidRPr="003479AB">
        <w:rPr>
          <w:rStyle w:val="rvts15"/>
          <w:color w:val="auto"/>
          <w:szCs w:val="24"/>
          <w:lang w:val="uk-UA"/>
        </w:rPr>
        <w:t xml:space="preserve">Для відстеження результативності дії регуляторного </w:t>
      </w:r>
      <w:proofErr w:type="spellStart"/>
      <w:r w:rsidRPr="003479AB">
        <w:rPr>
          <w:rStyle w:val="rvts15"/>
          <w:color w:val="auto"/>
          <w:szCs w:val="24"/>
          <w:lang w:val="uk-UA"/>
        </w:rPr>
        <w:t>акта</w:t>
      </w:r>
      <w:proofErr w:type="spellEnd"/>
      <w:r w:rsidRPr="003479AB">
        <w:rPr>
          <w:rStyle w:val="rvts15"/>
          <w:color w:val="auto"/>
          <w:szCs w:val="24"/>
          <w:lang w:val="uk-UA"/>
        </w:rPr>
        <w:t xml:space="preserve"> обрано такі показники:</w:t>
      </w:r>
    </w:p>
    <w:p w:rsidR="003479AB" w:rsidRDefault="003479AB" w:rsidP="003479AB">
      <w:pPr>
        <w:ind w:firstLine="708"/>
        <w:rPr>
          <w:color w:val="auto"/>
          <w:szCs w:val="24"/>
          <w:lang w:val="uk-UA"/>
        </w:rPr>
      </w:pPr>
    </w:p>
    <w:p w:rsidR="00456D4B" w:rsidRDefault="00456D4B" w:rsidP="003479AB">
      <w:pPr>
        <w:ind w:firstLine="708"/>
        <w:rPr>
          <w:color w:val="auto"/>
          <w:szCs w:val="24"/>
          <w:lang w:val="uk-UA"/>
        </w:rPr>
      </w:pPr>
    </w:p>
    <w:p w:rsidR="00456D4B" w:rsidRDefault="00456D4B" w:rsidP="003479AB">
      <w:pPr>
        <w:ind w:firstLine="708"/>
        <w:rPr>
          <w:color w:val="auto"/>
          <w:szCs w:val="24"/>
          <w:lang w:val="uk-UA"/>
        </w:rPr>
      </w:pPr>
    </w:p>
    <w:p w:rsidR="00456D4B" w:rsidRPr="003479AB" w:rsidRDefault="00456D4B" w:rsidP="003479AB">
      <w:pPr>
        <w:ind w:firstLine="708"/>
        <w:rPr>
          <w:color w:val="auto"/>
          <w:szCs w:val="24"/>
          <w:lang w:val="uk-UA"/>
        </w:rPr>
      </w:pPr>
    </w:p>
    <w:tbl>
      <w:tblPr>
        <w:tblW w:w="9591" w:type="dxa"/>
        <w:tblInd w:w="3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30"/>
        <w:gridCol w:w="4139"/>
        <w:gridCol w:w="993"/>
        <w:gridCol w:w="3829"/>
      </w:tblGrid>
      <w:tr w:rsidR="00DF6E38" w:rsidRPr="003479AB" w:rsidTr="003479AB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Назва показника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Одиниця виміру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Значення показника</w:t>
            </w:r>
          </w:p>
        </w:tc>
      </w:tr>
      <w:tr w:rsidR="00DF6E38" w:rsidRPr="003479AB" w:rsidTr="003479AB">
        <w:trPr>
          <w:trHeight w:val="477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479AB">
              <w:rPr>
                <w:rStyle w:val="rvts15"/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  <w:t xml:space="preserve">Розмір надходжень до місцевого бюджету земельного податку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3479AB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 xml:space="preserve">Тис. </w:t>
            </w:r>
            <w:r w:rsidR="00F17D03" w:rsidRPr="003479AB">
              <w:rPr>
                <w:color w:val="auto"/>
                <w:szCs w:val="24"/>
                <w:lang w:val="uk-UA"/>
              </w:rPr>
              <w:t>грн.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4604E2">
            <w:pPr>
              <w:jc w:val="center"/>
              <w:rPr>
                <w:color w:val="auto"/>
                <w:szCs w:val="24"/>
                <w:lang w:val="uk-UA"/>
              </w:rPr>
            </w:pPr>
            <w:r w:rsidRPr="00456D4B">
              <w:rPr>
                <w:color w:val="auto"/>
                <w:szCs w:val="24"/>
                <w:lang w:val="uk-UA"/>
              </w:rPr>
              <w:t>9</w:t>
            </w:r>
            <w:r w:rsidR="00456D4B" w:rsidRPr="00456D4B">
              <w:rPr>
                <w:color w:val="auto"/>
                <w:szCs w:val="24"/>
                <w:lang w:val="uk-UA"/>
              </w:rPr>
              <w:t>95</w:t>
            </w:r>
            <w:r w:rsidR="003479AB" w:rsidRPr="00456D4B">
              <w:rPr>
                <w:color w:val="auto"/>
                <w:szCs w:val="24"/>
                <w:lang w:val="uk-UA"/>
              </w:rPr>
              <w:t>,00</w:t>
            </w:r>
          </w:p>
          <w:p w:rsidR="00DF6E38" w:rsidRPr="003479AB" w:rsidRDefault="00DF6E38">
            <w:pPr>
              <w:rPr>
                <w:color w:val="auto"/>
                <w:szCs w:val="24"/>
                <w:lang w:val="uk-UA"/>
              </w:rPr>
            </w:pPr>
          </w:p>
        </w:tc>
      </w:tr>
      <w:tr w:rsidR="00DF6E38" w:rsidRPr="003479AB" w:rsidTr="003479AB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Кількість суб’єктів господарювання, на яких поширюється дія акту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од.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95</w:t>
            </w:r>
          </w:p>
        </w:tc>
      </w:tr>
      <w:tr w:rsidR="00DF6E38" w:rsidRPr="003479AB" w:rsidTr="003479AB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Рівень поінформованості суб’єктів господарювання та/або фізичних осіб з основних положень акту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%</w:t>
            </w:r>
          </w:p>
        </w:tc>
        <w:tc>
          <w:tcPr>
            <w:tcW w:w="3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F6E38" w:rsidRPr="003479AB" w:rsidRDefault="00F17D03">
            <w:pPr>
              <w:jc w:val="center"/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100%</w:t>
            </w:r>
          </w:p>
          <w:p w:rsidR="00DF6E38" w:rsidRPr="003479AB" w:rsidRDefault="00F17D03">
            <w:pPr>
              <w:rPr>
                <w:color w:val="auto"/>
                <w:szCs w:val="24"/>
                <w:lang w:val="uk-UA"/>
              </w:rPr>
            </w:pPr>
            <w:r w:rsidRPr="003479AB">
              <w:rPr>
                <w:color w:val="auto"/>
                <w:szCs w:val="24"/>
                <w:lang w:val="uk-UA"/>
              </w:rPr>
              <w:t>Оприлюднення на офіційному веб-сайті Авдіївської міської військово-цивільної адміністрації Покровського району Донецької області та в газеті “Авдіївський вісник +”</w:t>
            </w:r>
          </w:p>
        </w:tc>
      </w:tr>
    </w:tbl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Даний проект рішення підлягає оприлюдненню на офіційному сайті Авдіївської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міської </w:t>
      </w:r>
      <w:r>
        <w:rPr>
          <w:color w:val="auto"/>
          <w:szCs w:val="24"/>
          <w:lang w:val="uk-UA"/>
        </w:rPr>
        <w:t>ВЦА</w:t>
      </w:r>
    </w:p>
    <w:p w:rsidR="003479AB" w:rsidRPr="003479AB" w:rsidRDefault="003479AB" w:rsidP="003479AB">
      <w:pPr>
        <w:ind w:firstLine="708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Розмір коштів, що витрачатимуться суб’єктами господарювання, пов’язаний з виконанням вимог </w:t>
      </w:r>
      <w:proofErr w:type="spellStart"/>
      <w:r w:rsidRPr="003479AB">
        <w:rPr>
          <w:color w:val="auto"/>
          <w:szCs w:val="24"/>
          <w:lang w:val="uk-UA"/>
        </w:rPr>
        <w:t>акта</w:t>
      </w:r>
      <w:proofErr w:type="spellEnd"/>
      <w:r w:rsidRPr="003479AB">
        <w:rPr>
          <w:color w:val="auto"/>
          <w:szCs w:val="24"/>
          <w:lang w:val="uk-UA"/>
        </w:rPr>
        <w:t>, може бути змінений, якщо зміниться розмір мінімальної заробітної плати:</w:t>
      </w:r>
    </w:p>
    <w:p w:rsidR="00DF6E38" w:rsidRPr="003479AB" w:rsidRDefault="00DF6E38">
      <w:pPr>
        <w:ind w:firstLine="708"/>
        <w:jc w:val="center"/>
        <w:rPr>
          <w:caps/>
          <w:color w:val="auto"/>
          <w:szCs w:val="24"/>
          <w:lang w:val="uk-UA"/>
        </w:rPr>
      </w:pPr>
    </w:p>
    <w:p w:rsidR="00DF6E38" w:rsidRPr="003479AB" w:rsidRDefault="00F17D03">
      <w:pPr>
        <w:ind w:firstLine="708"/>
        <w:jc w:val="center"/>
        <w:rPr>
          <w:caps/>
          <w:color w:val="auto"/>
          <w:szCs w:val="24"/>
          <w:lang w:val="uk-UA"/>
        </w:rPr>
      </w:pPr>
      <w:r w:rsidRPr="003479AB">
        <w:rPr>
          <w:rStyle w:val="rvts15"/>
          <w:b/>
          <w:caps/>
          <w:color w:val="auto"/>
          <w:szCs w:val="24"/>
          <w:lang w:val="uk-UA"/>
        </w:rPr>
        <w:t>IX. Визначення заходів, за допомогою яких здійснюватиметься відстеження результативності дії регуляторного акту</w:t>
      </w:r>
    </w:p>
    <w:p w:rsidR="00DF6E38" w:rsidRPr="003479AB" w:rsidRDefault="00DF6E38">
      <w:pPr>
        <w:ind w:firstLine="708"/>
        <w:rPr>
          <w:color w:val="auto"/>
          <w:szCs w:val="24"/>
          <w:lang w:val="uk-UA"/>
        </w:rPr>
      </w:pPr>
    </w:p>
    <w:p w:rsidR="003479AB" w:rsidRPr="003479AB" w:rsidRDefault="003479AB" w:rsidP="003479AB">
      <w:pPr>
        <w:widowControl/>
        <w:suppressAutoHyphens w:val="0"/>
        <w:overflowPunct w:val="0"/>
        <w:ind w:firstLine="708"/>
        <w:textAlignment w:val="auto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 xml:space="preserve"> здійснюватиметься шляхом проведення базового та повторного періодичного </w:t>
      </w:r>
      <w:proofErr w:type="spellStart"/>
      <w:r w:rsidRPr="003479AB">
        <w:rPr>
          <w:bCs/>
          <w:color w:val="auto"/>
          <w:szCs w:val="24"/>
          <w:lang w:val="uk-UA"/>
        </w:rPr>
        <w:t>відстежень</w:t>
      </w:r>
      <w:proofErr w:type="spellEnd"/>
      <w:r w:rsidRPr="003479AB">
        <w:rPr>
          <w:bCs/>
          <w:color w:val="auto"/>
          <w:szCs w:val="24"/>
          <w:lang w:val="uk-UA"/>
        </w:rPr>
        <w:t xml:space="preserve"> статистичних показників результативності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>.</w:t>
      </w:r>
    </w:p>
    <w:p w:rsidR="00DF6E38" w:rsidRPr="003479AB" w:rsidRDefault="00F17D03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Строки проведення відстеження:</w:t>
      </w:r>
    </w:p>
    <w:p w:rsidR="003479AB" w:rsidRPr="003479AB" w:rsidRDefault="003479AB" w:rsidP="003479AB">
      <w:pPr>
        <w:pStyle w:val="af"/>
        <w:widowControl/>
        <w:numPr>
          <w:ilvl w:val="0"/>
          <w:numId w:val="2"/>
        </w:numPr>
        <w:tabs>
          <w:tab w:val="clear" w:pos="720"/>
        </w:tabs>
        <w:suppressAutoHyphens w:val="0"/>
        <w:overflowPunct w:val="0"/>
        <w:ind w:left="0" w:firstLine="709"/>
        <w:textAlignment w:val="auto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 xml:space="preserve"> здійснюватиметься після набрання ним чинності, оскільки для цього використовуватимуться виключно статистичні показники.</w:t>
      </w:r>
    </w:p>
    <w:p w:rsidR="003479AB" w:rsidRPr="003479AB" w:rsidRDefault="003479AB" w:rsidP="003479AB">
      <w:pPr>
        <w:numPr>
          <w:ilvl w:val="0"/>
          <w:numId w:val="2"/>
        </w:numPr>
        <w:tabs>
          <w:tab w:val="clear" w:pos="720"/>
          <w:tab w:val="num" w:pos="1418"/>
        </w:tabs>
        <w:ind w:left="284" w:firstLine="360"/>
        <w:rPr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 xml:space="preserve">Повторне відстеження результативності регуляторного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 xml:space="preserve"> здійснюватиметься</w:t>
      </w:r>
    </w:p>
    <w:p w:rsidR="003479AB" w:rsidRPr="003479AB" w:rsidRDefault="003479AB" w:rsidP="003479AB">
      <w:pPr>
        <w:rPr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>через</w:t>
      </w:r>
      <w:r w:rsidRPr="003479AB">
        <w:rPr>
          <w:color w:val="auto"/>
          <w:szCs w:val="24"/>
          <w:lang w:val="uk-UA"/>
        </w:rPr>
        <w:t xml:space="preserve"> </w:t>
      </w:r>
      <w:r w:rsidRPr="003479AB">
        <w:rPr>
          <w:bCs/>
          <w:color w:val="auto"/>
          <w:szCs w:val="24"/>
          <w:lang w:val="uk-UA"/>
        </w:rPr>
        <w:t>рік з дня набрання чинності цим регуляторним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</w:t>
      </w:r>
    </w:p>
    <w:p w:rsidR="00DF6E38" w:rsidRPr="003479AB" w:rsidRDefault="003479AB" w:rsidP="003479AB">
      <w:pPr>
        <w:pStyle w:val="af"/>
        <w:widowControl/>
        <w:numPr>
          <w:ilvl w:val="0"/>
          <w:numId w:val="2"/>
        </w:numPr>
        <w:tabs>
          <w:tab w:val="clear" w:pos="720"/>
        </w:tabs>
        <w:suppressAutoHyphens w:val="0"/>
        <w:overflowPunct w:val="0"/>
        <w:ind w:left="0" w:firstLine="709"/>
        <w:textAlignment w:val="auto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 xml:space="preserve">Періодичне відстеження дії регуляторного </w:t>
      </w:r>
      <w:proofErr w:type="spellStart"/>
      <w:r w:rsidRPr="003479AB">
        <w:rPr>
          <w:bCs/>
          <w:color w:val="auto"/>
          <w:szCs w:val="24"/>
          <w:lang w:val="uk-UA"/>
        </w:rPr>
        <w:t>акта</w:t>
      </w:r>
      <w:proofErr w:type="spellEnd"/>
      <w:r w:rsidRPr="003479AB">
        <w:rPr>
          <w:bCs/>
          <w:color w:val="auto"/>
          <w:szCs w:val="24"/>
          <w:lang w:val="uk-UA"/>
        </w:rPr>
        <w:t xml:space="preserve"> передбачається здійснювати через кожних 3 роки (після проведення повторного відстеження) протягом всього терміну його чинності.</w:t>
      </w:r>
    </w:p>
    <w:p w:rsidR="003479AB" w:rsidRPr="003479AB" w:rsidRDefault="003479AB" w:rsidP="003479AB">
      <w:pPr>
        <w:widowControl/>
        <w:suppressAutoHyphens w:val="0"/>
        <w:overflowPunct w:val="0"/>
        <w:ind w:firstLine="708"/>
        <w:textAlignment w:val="auto"/>
        <w:rPr>
          <w:bCs/>
          <w:color w:val="auto"/>
          <w:szCs w:val="24"/>
          <w:lang w:val="uk-UA"/>
        </w:rPr>
      </w:pPr>
      <w:r w:rsidRPr="003479AB">
        <w:rPr>
          <w:bCs/>
          <w:color w:val="auto"/>
          <w:szCs w:val="24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DF6E38" w:rsidRPr="003479AB" w:rsidRDefault="00DF6E38" w:rsidP="003479AB">
      <w:pPr>
        <w:ind w:firstLine="709"/>
        <w:rPr>
          <w:color w:val="auto"/>
          <w:szCs w:val="24"/>
          <w:lang w:val="uk-UA"/>
        </w:rPr>
      </w:pPr>
    </w:p>
    <w:p w:rsidR="00DF6E38" w:rsidRPr="003479AB" w:rsidRDefault="00F17D03" w:rsidP="003479AB">
      <w:pPr>
        <w:ind w:firstLine="709"/>
        <w:rPr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 xml:space="preserve">Аналіз регуляторного впливу розроблено </w:t>
      </w:r>
      <w:r w:rsidR="00A6268E" w:rsidRPr="003479AB">
        <w:rPr>
          <w:color w:val="auto"/>
          <w:szCs w:val="24"/>
          <w:lang w:val="uk-UA"/>
        </w:rPr>
        <w:t>в.о. завідувача сектором земельних відносин Авдіївської міської</w:t>
      </w:r>
      <w:r w:rsidRPr="003479AB">
        <w:rPr>
          <w:color w:val="auto"/>
          <w:szCs w:val="24"/>
          <w:lang w:val="uk-UA"/>
        </w:rPr>
        <w:t xml:space="preserve"> військово-цивільної адміністрації Покровського району Донецької області.</w:t>
      </w:r>
    </w:p>
    <w:p w:rsidR="00DF6E38" w:rsidRPr="003479AB" w:rsidRDefault="00DF6E38" w:rsidP="003479AB">
      <w:pPr>
        <w:tabs>
          <w:tab w:val="left" w:pos="742"/>
        </w:tabs>
        <w:rPr>
          <w:color w:val="auto"/>
          <w:szCs w:val="24"/>
          <w:lang w:val="uk-UA"/>
        </w:rPr>
      </w:pPr>
    </w:p>
    <w:p w:rsidR="00DF6E38" w:rsidRPr="003479AB" w:rsidRDefault="00DF6E38">
      <w:pPr>
        <w:tabs>
          <w:tab w:val="left" w:pos="742"/>
        </w:tabs>
        <w:rPr>
          <w:color w:val="auto"/>
          <w:szCs w:val="24"/>
          <w:lang w:val="uk-UA"/>
        </w:rPr>
      </w:pPr>
    </w:p>
    <w:p w:rsidR="00DF6E38" w:rsidRPr="003479AB" w:rsidRDefault="00A6268E">
      <w:pPr>
        <w:widowControl/>
        <w:suppressAutoHyphens w:val="0"/>
        <w:overflowPunct w:val="0"/>
        <w:jc w:val="left"/>
        <w:textAlignment w:val="auto"/>
        <w:rPr>
          <w:bCs/>
          <w:color w:val="auto"/>
          <w:szCs w:val="24"/>
          <w:lang w:val="uk-UA"/>
        </w:rPr>
      </w:pPr>
      <w:r w:rsidRPr="003479AB">
        <w:rPr>
          <w:color w:val="auto"/>
          <w:szCs w:val="24"/>
          <w:lang w:val="uk-UA"/>
        </w:rPr>
        <w:t>В.о. завідувача сектором земельних відносин</w:t>
      </w:r>
      <w:r w:rsidRPr="003479AB">
        <w:rPr>
          <w:bCs/>
          <w:color w:val="auto"/>
          <w:szCs w:val="24"/>
          <w:lang w:val="uk-UA"/>
        </w:rPr>
        <w:tab/>
      </w:r>
      <w:r w:rsidRPr="003479AB">
        <w:rPr>
          <w:bCs/>
          <w:color w:val="auto"/>
          <w:szCs w:val="24"/>
          <w:lang w:val="uk-UA"/>
        </w:rPr>
        <w:tab/>
      </w:r>
      <w:r w:rsidRPr="003479AB">
        <w:rPr>
          <w:bCs/>
          <w:color w:val="auto"/>
          <w:szCs w:val="24"/>
          <w:lang w:val="uk-UA"/>
        </w:rPr>
        <w:tab/>
      </w:r>
      <w:r w:rsidR="00F17D03" w:rsidRPr="003479AB">
        <w:rPr>
          <w:bCs/>
          <w:color w:val="auto"/>
          <w:szCs w:val="24"/>
          <w:lang w:val="uk-UA"/>
        </w:rPr>
        <w:t>Людмила БАЛАБАНОВА</w:t>
      </w:r>
    </w:p>
    <w:p w:rsidR="00DF6E38" w:rsidRPr="003479AB" w:rsidRDefault="00DF6E38">
      <w:pPr>
        <w:widowControl/>
        <w:suppressAutoHyphens w:val="0"/>
        <w:overflowPunct w:val="0"/>
        <w:jc w:val="left"/>
        <w:textAlignment w:val="auto"/>
        <w:rPr>
          <w:bCs/>
          <w:color w:val="auto"/>
          <w:lang w:val="uk-UA"/>
        </w:rPr>
      </w:pPr>
    </w:p>
    <w:p w:rsidR="003479AB" w:rsidRDefault="003479AB">
      <w:pPr>
        <w:pStyle w:val="aa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</w:rPr>
      </w:pPr>
    </w:p>
    <w:p w:rsidR="003479AB" w:rsidRDefault="003479AB">
      <w:pPr>
        <w:pStyle w:val="aa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</w:rPr>
      </w:pPr>
    </w:p>
    <w:p w:rsidR="003479AB" w:rsidRDefault="003479AB">
      <w:pPr>
        <w:pStyle w:val="aa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</w:rPr>
      </w:pPr>
    </w:p>
    <w:p w:rsidR="00DF6E38" w:rsidRDefault="00F17D03">
      <w:pPr>
        <w:pStyle w:val="aa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lastRenderedPageBreak/>
        <w:t>Додаток 1</w:t>
      </w:r>
    </w:p>
    <w:p w:rsidR="00DF6E38" w:rsidRDefault="00F17D03">
      <w:pPr>
        <w:widowControl/>
        <w:suppressAutoHyphens w:val="0"/>
        <w:overflowPunct w:val="0"/>
        <w:jc w:val="center"/>
        <w:textAlignment w:val="auto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>Витрати</w:t>
      </w:r>
    </w:p>
    <w:p w:rsidR="00DF6E38" w:rsidRDefault="00F17D03">
      <w:pPr>
        <w:widowControl/>
        <w:suppressAutoHyphens w:val="0"/>
        <w:overflowPunct w:val="0"/>
        <w:jc w:val="center"/>
        <w:textAlignment w:val="auto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>на одного суб’єкта господарювання великого і середнього підприємництва, які виникають внаслідок дії регуляторного акту</w:t>
      </w:r>
    </w:p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847"/>
        <w:gridCol w:w="3968"/>
        <w:gridCol w:w="2407"/>
        <w:gridCol w:w="2406"/>
      </w:tblGrid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Поряд</w:t>
            </w:r>
          </w:p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proofErr w:type="spellStart"/>
            <w:r>
              <w:rPr>
                <w:color w:val="auto"/>
                <w:sz w:val="20"/>
                <w:lang w:val="uk-UA" w:eastAsia="ru-RU"/>
              </w:rPr>
              <w:t>ковий</w:t>
            </w:r>
            <w:proofErr w:type="spellEnd"/>
            <w:r>
              <w:rPr>
                <w:color w:val="auto"/>
                <w:sz w:val="20"/>
                <w:lang w:val="uk-UA" w:eastAsia="ru-RU"/>
              </w:rPr>
              <w:t xml:space="preserve"> номер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За перший рік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За п’ять років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2407" w:type="dxa"/>
          </w:tcPr>
          <w:p w:rsidR="00DF6E38" w:rsidRDefault="00DF6E38" w:rsidP="003479AB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</w:p>
          <w:p w:rsidR="00DF6E38" w:rsidRDefault="00DF6E38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3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905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4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905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5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6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10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50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7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 xml:space="preserve">Витрати, пов’язані із </w:t>
            </w:r>
            <w:proofErr w:type="spellStart"/>
            <w:r>
              <w:rPr>
                <w:color w:val="auto"/>
                <w:sz w:val="20"/>
                <w:lang w:val="uk-UA" w:eastAsia="ru-RU"/>
              </w:rPr>
              <w:t>наймом</w:t>
            </w:r>
            <w:proofErr w:type="spellEnd"/>
            <w:r>
              <w:rPr>
                <w:color w:val="auto"/>
                <w:sz w:val="20"/>
                <w:lang w:val="uk-UA" w:eastAsia="ru-RU"/>
              </w:rPr>
              <w:t xml:space="preserve"> додаткового персоналу,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8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Інше (уточнити),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2407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191</w:t>
            </w:r>
          </w:p>
        </w:tc>
        <w:tc>
          <w:tcPr>
            <w:tcW w:w="240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955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10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407" w:type="dxa"/>
          </w:tcPr>
          <w:p w:rsidR="00DF6E38" w:rsidRDefault="00E866C7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2406" w:type="dxa"/>
          </w:tcPr>
          <w:p w:rsidR="00DF6E38" w:rsidRDefault="00E866C7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2</w:t>
            </w:r>
          </w:p>
        </w:tc>
      </w:tr>
      <w:tr w:rsidR="00DF6E38">
        <w:tc>
          <w:tcPr>
            <w:tcW w:w="84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11</w:t>
            </w:r>
          </w:p>
        </w:tc>
        <w:tc>
          <w:tcPr>
            <w:tcW w:w="3968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2407" w:type="dxa"/>
          </w:tcPr>
          <w:p w:rsidR="00DF6E38" w:rsidRDefault="00E866C7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382</w:t>
            </w:r>
          </w:p>
        </w:tc>
        <w:tc>
          <w:tcPr>
            <w:tcW w:w="2406" w:type="dxa"/>
          </w:tcPr>
          <w:p w:rsidR="00DF6E38" w:rsidRDefault="00E866C7" w:rsidP="00E866C7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1910</w:t>
            </w:r>
          </w:p>
        </w:tc>
      </w:tr>
    </w:tbl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p w:rsidR="00DF6E38" w:rsidRDefault="00F17D03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  <w:bookmarkStart w:id="2" w:name="n179"/>
      <w:bookmarkEnd w:id="2"/>
      <w:r>
        <w:rPr>
          <w:color w:val="auto"/>
          <w:szCs w:val="24"/>
          <w:lang w:val="uk-UA" w:eastAsia="ru-RU"/>
        </w:rPr>
        <w:t>Розрахунок відповідних витрат на одного суб’єкта господарювання</w:t>
      </w: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1274"/>
        <w:gridCol w:w="1136"/>
        <w:gridCol w:w="991"/>
        <w:gridCol w:w="851"/>
        <w:gridCol w:w="566"/>
        <w:gridCol w:w="143"/>
        <w:gridCol w:w="566"/>
        <w:gridCol w:w="1129"/>
      </w:tblGrid>
      <w:tr w:rsidR="00DF6E38" w:rsidTr="003479AB">
        <w:tc>
          <w:tcPr>
            <w:tcW w:w="5382" w:type="dxa"/>
            <w:gridSpan w:val="3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991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У перший рік</w:t>
            </w:r>
          </w:p>
        </w:tc>
        <w:tc>
          <w:tcPr>
            <w:tcW w:w="1560" w:type="dxa"/>
            <w:gridSpan w:val="3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Періодичні (за рік)</w:t>
            </w:r>
          </w:p>
        </w:tc>
        <w:tc>
          <w:tcPr>
            <w:tcW w:w="1695" w:type="dxa"/>
            <w:gridSpan w:val="2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за п’ять років</w:t>
            </w:r>
          </w:p>
        </w:tc>
      </w:tr>
      <w:tr w:rsidR="00DF6E38" w:rsidTr="003479AB">
        <w:tc>
          <w:tcPr>
            <w:tcW w:w="5382" w:type="dxa"/>
            <w:gridSpan w:val="3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91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16"/>
                <w:szCs w:val="16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регуляторний акт не передбачає таких витрат</w:t>
            </w:r>
          </w:p>
        </w:tc>
        <w:tc>
          <w:tcPr>
            <w:tcW w:w="1560" w:type="dxa"/>
            <w:gridSpan w:val="3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1695" w:type="dxa"/>
            <w:gridSpan w:val="2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  <w:tr w:rsidR="00DF6E38" w:rsidTr="003479AB">
        <w:tc>
          <w:tcPr>
            <w:tcW w:w="4246" w:type="dxa"/>
            <w:gridSpan w:val="2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3544" w:type="dxa"/>
            <w:gridSpan w:val="4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838" w:type="dxa"/>
            <w:gridSpan w:val="3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за п’ять років</w:t>
            </w:r>
          </w:p>
        </w:tc>
      </w:tr>
      <w:tr w:rsidR="00DF6E38" w:rsidTr="003479AB">
        <w:tc>
          <w:tcPr>
            <w:tcW w:w="4246" w:type="dxa"/>
            <w:gridSpan w:val="2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:rsidR="003479AB" w:rsidRDefault="003A48FD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Земельний податок</w:t>
            </w:r>
            <w:bookmarkStart w:id="3" w:name="_GoBack"/>
            <w:bookmarkEnd w:id="3"/>
          </w:p>
        </w:tc>
        <w:tc>
          <w:tcPr>
            <w:tcW w:w="3544" w:type="dxa"/>
            <w:gridSpan w:val="4"/>
          </w:tcPr>
          <w:p w:rsidR="00DF6E38" w:rsidRDefault="00130584" w:rsidP="00130584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4261,9</w:t>
            </w:r>
          </w:p>
        </w:tc>
        <w:tc>
          <w:tcPr>
            <w:tcW w:w="1838" w:type="dxa"/>
            <w:gridSpan w:val="3"/>
          </w:tcPr>
          <w:p w:rsidR="00DF6E38" w:rsidRDefault="00130584" w:rsidP="00130584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21309,8</w:t>
            </w:r>
          </w:p>
        </w:tc>
      </w:tr>
      <w:tr w:rsidR="00DF6E38" w:rsidTr="003479AB">
        <w:tc>
          <w:tcPr>
            <w:tcW w:w="297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2410" w:type="dxa"/>
            <w:gridSpan w:val="2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 xml:space="preserve">Витрати* на ведення обліку, підготовку та </w:t>
            </w:r>
            <w:r>
              <w:rPr>
                <w:color w:val="auto"/>
                <w:sz w:val="20"/>
                <w:lang w:val="uk-UA" w:eastAsia="ru-RU"/>
              </w:rPr>
              <w:lastRenderedPageBreak/>
              <w:t>подання звітності (за рік)</w:t>
            </w:r>
          </w:p>
        </w:tc>
        <w:tc>
          <w:tcPr>
            <w:tcW w:w="1842" w:type="dxa"/>
            <w:gridSpan w:val="2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lastRenderedPageBreak/>
              <w:t xml:space="preserve">Витрати на оплату штрафних санкцій </w:t>
            </w:r>
            <w:r>
              <w:rPr>
                <w:color w:val="auto"/>
                <w:sz w:val="20"/>
                <w:lang w:val="uk-UA" w:eastAsia="ru-RU"/>
              </w:rPr>
              <w:lastRenderedPageBreak/>
              <w:t>за рік</w:t>
            </w:r>
          </w:p>
        </w:tc>
        <w:tc>
          <w:tcPr>
            <w:tcW w:w="1275" w:type="dxa"/>
            <w:gridSpan w:val="3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lastRenderedPageBreak/>
              <w:t>Разом за рік</w:t>
            </w:r>
          </w:p>
        </w:tc>
        <w:tc>
          <w:tcPr>
            <w:tcW w:w="1129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 xml:space="preserve">Витрати за п’ять </w:t>
            </w:r>
            <w:r>
              <w:rPr>
                <w:color w:val="auto"/>
                <w:sz w:val="20"/>
                <w:lang w:val="uk-UA" w:eastAsia="ru-RU"/>
              </w:rPr>
              <w:lastRenderedPageBreak/>
              <w:t>років</w:t>
            </w:r>
          </w:p>
        </w:tc>
      </w:tr>
      <w:tr w:rsidR="00DF6E38" w:rsidTr="003479AB">
        <w:tc>
          <w:tcPr>
            <w:tcW w:w="297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410" w:type="dxa"/>
            <w:gridSpan w:val="2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16"/>
                <w:szCs w:val="16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13780 (середня зарплата за січень 2021) / 19 / 8 * 2 = 181, де:</w:t>
            </w:r>
          </w:p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19 – кількість робочих днів у січні, 8 – кількість годин у робочому дні, 2 – час для підготовки та подання звіту</w:t>
            </w:r>
          </w:p>
        </w:tc>
        <w:tc>
          <w:tcPr>
            <w:tcW w:w="1842" w:type="dxa"/>
            <w:gridSpan w:val="2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1275" w:type="dxa"/>
            <w:gridSpan w:val="3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</w:tc>
        <w:tc>
          <w:tcPr>
            <w:tcW w:w="1129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905</w:t>
            </w:r>
          </w:p>
        </w:tc>
      </w:tr>
    </w:tbl>
    <w:p w:rsidR="00DF6E38" w:rsidRDefault="00F17D03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  <w:bookmarkStart w:id="4" w:name="n183"/>
      <w:bookmarkEnd w:id="4"/>
      <w:r>
        <w:rPr>
          <w:color w:val="auto"/>
          <w:sz w:val="20"/>
          <w:lang w:val="uk-UA" w:eastAsia="ru-RU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842"/>
        <w:gridCol w:w="1275"/>
        <w:gridCol w:w="1129"/>
      </w:tblGrid>
      <w:tr w:rsidR="00DF6E38" w:rsidTr="003479AB">
        <w:tc>
          <w:tcPr>
            <w:tcW w:w="297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2410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842" w:type="dxa"/>
            <w:vAlign w:val="center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275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Разом за рік</w:t>
            </w:r>
          </w:p>
        </w:tc>
        <w:tc>
          <w:tcPr>
            <w:tcW w:w="1129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за п’ять років</w:t>
            </w:r>
          </w:p>
        </w:tc>
      </w:tr>
      <w:tr w:rsidR="00DF6E38" w:rsidTr="003479AB">
        <w:tc>
          <w:tcPr>
            <w:tcW w:w="297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410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16"/>
                <w:szCs w:val="16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13780 (середня зарплата за січень 2021) / 19 / 8 * 2 = 181, де:</w:t>
            </w:r>
          </w:p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16"/>
                <w:szCs w:val="16"/>
                <w:lang w:val="uk-UA" w:eastAsia="ru-RU"/>
              </w:rPr>
              <w:t>19 – кількість робочих днів у січні, 8 – кількість годин у робочому дні, 2 – час на адміністрування</w:t>
            </w:r>
          </w:p>
        </w:tc>
        <w:tc>
          <w:tcPr>
            <w:tcW w:w="1842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1275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181</w:t>
            </w:r>
          </w:p>
        </w:tc>
        <w:tc>
          <w:tcPr>
            <w:tcW w:w="1129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905</w:t>
            </w:r>
          </w:p>
        </w:tc>
      </w:tr>
    </w:tbl>
    <w:p w:rsidR="00DF6E38" w:rsidRDefault="00F17D03">
      <w:pPr>
        <w:widowControl/>
        <w:suppressAutoHyphens w:val="0"/>
        <w:overflowPunct w:val="0"/>
        <w:jc w:val="left"/>
        <w:textAlignment w:val="auto"/>
        <w:rPr>
          <w:color w:val="auto"/>
          <w:sz w:val="20"/>
          <w:lang w:val="uk-UA" w:eastAsia="ru-RU"/>
        </w:rPr>
      </w:pPr>
      <w:bookmarkStart w:id="5" w:name="n185"/>
      <w:bookmarkEnd w:id="5"/>
      <w:r>
        <w:rPr>
          <w:color w:val="auto"/>
          <w:sz w:val="20"/>
          <w:lang w:val="uk-UA" w:eastAsia="ru-RU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 w:val="20"/>
          <w:lang w:val="uk-UA" w:eastAsia="ru-RU"/>
        </w:rPr>
      </w:pP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766"/>
        <w:gridCol w:w="1212"/>
        <w:gridCol w:w="985"/>
      </w:tblGrid>
      <w:tr w:rsidR="00DF6E38" w:rsidTr="003479AB">
        <w:tc>
          <w:tcPr>
            <w:tcW w:w="3539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766" w:type="dxa"/>
            <w:vAlign w:val="center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21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Разом за рік (стартовий)</w:t>
            </w:r>
          </w:p>
        </w:tc>
        <w:tc>
          <w:tcPr>
            <w:tcW w:w="985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за п’ять років</w:t>
            </w:r>
          </w:p>
        </w:tc>
      </w:tr>
      <w:tr w:rsidR="00DF6E38" w:rsidTr="003479AB">
        <w:tc>
          <w:tcPr>
            <w:tcW w:w="3539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12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176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1212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  <w:tc>
          <w:tcPr>
            <w:tcW w:w="985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</w:tbl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3397"/>
        <w:gridCol w:w="1986"/>
        <w:gridCol w:w="2125"/>
        <w:gridCol w:w="2120"/>
      </w:tblGrid>
      <w:tr w:rsidR="00DF6E38">
        <w:tc>
          <w:tcPr>
            <w:tcW w:w="339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szCs w:val="24"/>
                <w:lang w:val="uk-UA" w:eastAsia="ru-RU"/>
              </w:rPr>
              <w:t>Вид витрат</w:t>
            </w:r>
          </w:p>
        </w:tc>
        <w:tc>
          <w:tcPr>
            <w:tcW w:w="198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szCs w:val="24"/>
                <w:lang w:val="uk-UA" w:eastAsia="ru-RU"/>
              </w:rPr>
              <w:t>За рік (стартовий)</w:t>
            </w:r>
          </w:p>
        </w:tc>
        <w:tc>
          <w:tcPr>
            <w:tcW w:w="2125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szCs w:val="24"/>
                <w:lang w:val="uk-UA" w:eastAsia="ru-RU"/>
              </w:rPr>
              <w:t xml:space="preserve">Періодичні </w:t>
            </w:r>
            <w:r>
              <w:rPr>
                <w:color w:val="auto"/>
                <w:szCs w:val="24"/>
                <w:lang w:val="uk-UA" w:eastAsia="ru-RU"/>
              </w:rPr>
              <w:br/>
              <w:t>(за наступний рік)</w:t>
            </w:r>
          </w:p>
        </w:tc>
        <w:tc>
          <w:tcPr>
            <w:tcW w:w="2120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Cs w:val="24"/>
                <w:lang w:val="uk-UA" w:eastAsia="ru-RU"/>
              </w:rPr>
            </w:pPr>
            <w:r>
              <w:rPr>
                <w:color w:val="auto"/>
                <w:szCs w:val="24"/>
                <w:lang w:val="uk-UA" w:eastAsia="ru-RU"/>
              </w:rPr>
              <w:t>Витрати за п’ять років</w:t>
            </w:r>
          </w:p>
        </w:tc>
      </w:tr>
      <w:tr w:rsidR="00DF6E38">
        <w:tc>
          <w:tcPr>
            <w:tcW w:w="339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986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10</w:t>
            </w:r>
          </w:p>
        </w:tc>
        <w:tc>
          <w:tcPr>
            <w:tcW w:w="2125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10</w:t>
            </w:r>
          </w:p>
        </w:tc>
        <w:tc>
          <w:tcPr>
            <w:tcW w:w="2120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50</w:t>
            </w:r>
          </w:p>
        </w:tc>
      </w:tr>
    </w:tbl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 w:val="20"/>
          <w:lang w:val="uk-UA" w:eastAsia="ru-RU"/>
        </w:rPr>
      </w:pP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3396"/>
        <w:gridCol w:w="3022"/>
        <w:gridCol w:w="3210"/>
      </w:tblGrid>
      <w:tr w:rsidR="00DF6E38">
        <w:tc>
          <w:tcPr>
            <w:tcW w:w="339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vanish/>
                <w:color w:val="auto"/>
                <w:sz w:val="20"/>
                <w:lang w:val="uk-UA" w:eastAsia="ru-RU"/>
              </w:rPr>
            </w:pPr>
            <w:bookmarkStart w:id="6" w:name="n188"/>
            <w:bookmarkEnd w:id="6"/>
            <w:r>
              <w:rPr>
                <w:color w:val="auto"/>
                <w:sz w:val="20"/>
                <w:lang w:val="uk-UA" w:eastAsia="ru-RU"/>
              </w:rPr>
              <w:t>Вид витрат</w:t>
            </w:r>
          </w:p>
        </w:tc>
        <w:tc>
          <w:tcPr>
            <w:tcW w:w="3022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vanish/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210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vanish/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Витрати за п’ять років</w:t>
            </w:r>
          </w:p>
        </w:tc>
      </w:tr>
      <w:tr w:rsidR="00DF6E38">
        <w:tc>
          <w:tcPr>
            <w:tcW w:w="3396" w:type="dxa"/>
          </w:tcPr>
          <w:p w:rsidR="00DF6E38" w:rsidRDefault="00F17D03">
            <w:pPr>
              <w:suppressAutoHyphens w:val="0"/>
              <w:overflowPunct w:val="0"/>
              <w:jc w:val="left"/>
              <w:textAlignment w:val="auto"/>
              <w:rPr>
                <w:vanish/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 xml:space="preserve">Витрати, пов’язані із </w:t>
            </w:r>
            <w:proofErr w:type="spellStart"/>
            <w:r>
              <w:rPr>
                <w:color w:val="auto"/>
                <w:sz w:val="20"/>
                <w:lang w:val="uk-UA" w:eastAsia="ru-RU"/>
              </w:rPr>
              <w:t>наймом</w:t>
            </w:r>
            <w:proofErr w:type="spellEnd"/>
            <w:r>
              <w:rPr>
                <w:color w:val="auto"/>
                <w:sz w:val="20"/>
                <w:lang w:val="uk-UA" w:eastAsia="ru-RU"/>
              </w:rPr>
              <w:t xml:space="preserve"> додаткового персоналу</w:t>
            </w:r>
          </w:p>
        </w:tc>
        <w:tc>
          <w:tcPr>
            <w:tcW w:w="3022" w:type="dxa"/>
          </w:tcPr>
          <w:p w:rsidR="00DF6E38" w:rsidRPr="003479AB" w:rsidRDefault="003479AB" w:rsidP="003479AB">
            <w:pPr>
              <w:suppressAutoHyphens w:val="0"/>
              <w:overflowPunct w:val="0"/>
              <w:jc w:val="left"/>
              <w:textAlignment w:val="auto"/>
              <w:rPr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 xml:space="preserve">Не передбачається у зв’язку із </w:t>
            </w:r>
            <w:r w:rsidRPr="003479AB">
              <w:rPr>
                <w:color w:val="auto"/>
                <w:sz w:val="20"/>
                <w:lang w:val="uk-UA" w:eastAsia="ru-RU"/>
              </w:rPr>
              <w:t>тим, що великі та</w:t>
            </w:r>
            <w:r>
              <w:rPr>
                <w:color w:val="auto"/>
                <w:sz w:val="20"/>
                <w:lang w:val="uk-UA" w:eastAsia="ru-RU"/>
              </w:rPr>
              <w:t xml:space="preserve"> </w:t>
            </w:r>
            <w:r w:rsidRPr="003479AB">
              <w:rPr>
                <w:color w:val="auto"/>
                <w:sz w:val="20"/>
                <w:lang w:val="uk-UA" w:eastAsia="ru-RU"/>
              </w:rPr>
              <w:t>середні підп</w:t>
            </w:r>
            <w:r>
              <w:rPr>
                <w:color w:val="auto"/>
                <w:sz w:val="20"/>
                <w:lang w:val="uk-UA" w:eastAsia="ru-RU"/>
              </w:rPr>
              <w:t xml:space="preserve">риємства звичайно мають у штаті </w:t>
            </w:r>
            <w:r w:rsidRPr="003479AB">
              <w:rPr>
                <w:color w:val="auto"/>
                <w:sz w:val="20"/>
                <w:lang w:val="uk-UA" w:eastAsia="ru-RU"/>
              </w:rPr>
              <w:t>бухгалтера</w:t>
            </w:r>
          </w:p>
        </w:tc>
        <w:tc>
          <w:tcPr>
            <w:tcW w:w="3210" w:type="dxa"/>
          </w:tcPr>
          <w:p w:rsidR="00DF6E38" w:rsidRDefault="00F17D03">
            <w:pPr>
              <w:suppressAutoHyphens w:val="0"/>
              <w:overflowPunct w:val="0"/>
              <w:jc w:val="center"/>
              <w:textAlignment w:val="auto"/>
              <w:rPr>
                <w:vanish/>
                <w:color w:val="auto"/>
                <w:sz w:val="20"/>
                <w:lang w:val="uk-UA" w:eastAsia="ru-RU"/>
              </w:rPr>
            </w:pPr>
            <w:r>
              <w:rPr>
                <w:color w:val="auto"/>
                <w:sz w:val="20"/>
                <w:lang w:val="uk-UA" w:eastAsia="ru-RU"/>
              </w:rPr>
              <w:t>-</w:t>
            </w:r>
          </w:p>
        </w:tc>
      </w:tr>
    </w:tbl>
    <w:p w:rsidR="00DF6E38" w:rsidRDefault="00DF6E38">
      <w:pPr>
        <w:pStyle w:val="aa"/>
        <w:spacing w:after="0" w:line="240" w:lineRule="auto"/>
        <w:jc w:val="right"/>
        <w:rPr>
          <w:color w:val="auto"/>
          <w:sz w:val="24"/>
        </w:rPr>
      </w:pPr>
    </w:p>
    <w:p w:rsidR="003479AB" w:rsidRDefault="003479AB">
      <w:pPr>
        <w:pStyle w:val="aa"/>
        <w:spacing w:after="0" w:line="240" w:lineRule="auto"/>
        <w:jc w:val="right"/>
        <w:rPr>
          <w:color w:val="auto"/>
          <w:sz w:val="24"/>
        </w:rPr>
      </w:pPr>
    </w:p>
    <w:p w:rsidR="003479AB" w:rsidRDefault="003479AB">
      <w:pPr>
        <w:pStyle w:val="aa"/>
        <w:spacing w:after="0" w:line="240" w:lineRule="auto"/>
        <w:jc w:val="right"/>
        <w:rPr>
          <w:color w:val="auto"/>
          <w:sz w:val="24"/>
        </w:rPr>
      </w:pPr>
    </w:p>
    <w:p w:rsidR="003479AB" w:rsidRDefault="003479AB">
      <w:pPr>
        <w:pStyle w:val="aa"/>
        <w:spacing w:after="0" w:line="240" w:lineRule="auto"/>
        <w:jc w:val="right"/>
        <w:rPr>
          <w:color w:val="auto"/>
          <w:sz w:val="24"/>
        </w:rPr>
      </w:pPr>
    </w:p>
    <w:p w:rsidR="00DF6E38" w:rsidRDefault="00DF6E38">
      <w:pPr>
        <w:pStyle w:val="aa"/>
        <w:spacing w:after="0" w:line="240" w:lineRule="auto"/>
        <w:jc w:val="right"/>
        <w:rPr>
          <w:color w:val="auto"/>
          <w:sz w:val="24"/>
        </w:rPr>
      </w:pPr>
    </w:p>
    <w:p w:rsidR="00DF6E38" w:rsidRDefault="00F17D03">
      <w:pPr>
        <w:pStyle w:val="aa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</w:rPr>
        <w:lastRenderedPageBreak/>
        <w:t>Додаток 2</w:t>
      </w:r>
    </w:p>
    <w:p w:rsidR="00DF6E38" w:rsidRDefault="00F17D03">
      <w:pPr>
        <w:widowControl/>
        <w:suppressAutoHyphens w:val="0"/>
        <w:overflowPunct w:val="0"/>
        <w:ind w:left="4248" w:firstLine="708"/>
        <w:textAlignment w:val="auto"/>
      </w:pPr>
      <w:r>
        <w:rPr>
          <w:b/>
          <w:color w:val="auto"/>
          <w:szCs w:val="24"/>
          <w:lang w:val="uk-UA" w:eastAsia="ru-RU"/>
        </w:rPr>
        <w:t>ТЕСТ</w:t>
      </w:r>
    </w:p>
    <w:p w:rsidR="00DF6E38" w:rsidRDefault="00F17D03">
      <w:pPr>
        <w:widowControl/>
        <w:suppressAutoHyphens w:val="0"/>
        <w:overflowPunct w:val="0"/>
        <w:jc w:val="center"/>
        <w:textAlignment w:val="auto"/>
      </w:pPr>
      <w:r>
        <w:rPr>
          <w:b/>
          <w:color w:val="auto"/>
          <w:szCs w:val="24"/>
          <w:lang w:val="uk-UA" w:eastAsia="ru-RU"/>
        </w:rPr>
        <w:t>малого підприємництва (М-Тест)</w:t>
      </w:r>
    </w:p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  <w:bookmarkStart w:id="7" w:name="n200"/>
      <w:bookmarkEnd w:id="7"/>
    </w:p>
    <w:p w:rsidR="00DF6E38" w:rsidRDefault="00F17D03">
      <w:pPr>
        <w:widowControl/>
        <w:suppressAutoHyphens w:val="0"/>
        <w:overflowPunct w:val="0"/>
        <w:ind w:firstLine="708"/>
        <w:textAlignment w:val="auto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 w:eastAsia="ru-RU"/>
        </w:rPr>
        <w:t>1. Консультації з представниками мікро та малого підприємництва щодо оцінки впливу регулювання.</w:t>
      </w:r>
    </w:p>
    <w:p w:rsidR="00DF6E38" w:rsidRDefault="00F17D03">
      <w:pPr>
        <w:widowControl/>
        <w:suppressAutoHyphens w:val="0"/>
        <w:overflowPunct w:val="0"/>
        <w:ind w:firstLine="708"/>
        <w:textAlignment w:val="auto"/>
        <w:rPr>
          <w:color w:val="auto"/>
          <w:szCs w:val="24"/>
          <w:lang w:val="uk-UA" w:eastAsia="ru-RU"/>
        </w:rPr>
      </w:pPr>
      <w:bookmarkStart w:id="8" w:name="n201"/>
      <w:bookmarkEnd w:id="8"/>
      <w:r>
        <w:rPr>
          <w:color w:val="auto"/>
          <w:szCs w:val="24"/>
          <w:lang w:val="uk-UA"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«01» січня 2021 р. по «01»березня 2021 р.</w:t>
      </w:r>
    </w:p>
    <w:p w:rsidR="00DF6E38" w:rsidRDefault="00DF6E38">
      <w:pPr>
        <w:widowControl/>
        <w:suppressAutoHyphens w:val="0"/>
        <w:overflowPunct w:val="0"/>
        <w:ind w:firstLine="708"/>
        <w:textAlignment w:val="auto"/>
        <w:rPr>
          <w:color w:val="auto"/>
          <w:szCs w:val="24"/>
          <w:lang w:val="uk-UA" w:eastAsia="ru-RU"/>
        </w:rPr>
      </w:pPr>
    </w:p>
    <w:tbl>
      <w:tblPr>
        <w:tblW w:w="946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76"/>
        <w:gridCol w:w="3981"/>
        <w:gridCol w:w="1404"/>
        <w:gridCol w:w="3202"/>
      </w:tblGrid>
      <w:tr w:rsidR="00DF6E38" w:rsidTr="0013058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bookmarkStart w:id="9" w:name="n203"/>
            <w:bookmarkEnd w:id="9"/>
            <w:r>
              <w:rPr>
                <w:color w:val="auto"/>
                <w:sz w:val="20"/>
                <w:lang w:val="uk-UA"/>
              </w:rPr>
              <w:t>Порядковий №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Кількість учасників консультацій, осіб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Основні результати консультацій (опис)</w:t>
            </w:r>
          </w:p>
        </w:tc>
      </w:tr>
      <w:tr w:rsidR="00DF6E38" w:rsidTr="00130584">
        <w:trPr>
          <w:trHeight w:val="150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 xml:space="preserve">1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Зустрічі (опитування)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130584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38</w:t>
            </w:r>
          </w:p>
          <w:p w:rsidR="00DF6E38" w:rsidRPr="00F17D03" w:rsidRDefault="00DF6E38">
            <w:pPr>
              <w:rPr>
                <w:sz w:val="20"/>
                <w:lang w:val="uk-UA"/>
              </w:rPr>
            </w:pPr>
          </w:p>
          <w:p w:rsidR="00DF6E38" w:rsidRPr="00F17D03" w:rsidRDefault="00DF6E38">
            <w:pPr>
              <w:rPr>
                <w:sz w:val="20"/>
                <w:lang w:val="uk-UA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Обговорення питання щодо оподаткування. Від підприємців отримана інформація про існуючі проблемні питання у цій сфері, отримано пропозиції та зауваження до розроблення проекту регуляторного акту.</w:t>
            </w:r>
          </w:p>
        </w:tc>
      </w:tr>
      <w:tr w:rsidR="00DF6E38" w:rsidTr="0013058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Консультації у телефонному режимі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130584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55</w:t>
            </w: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DF6E38">
            <w:pPr>
              <w:rPr>
                <w:color w:val="auto"/>
                <w:sz w:val="20"/>
                <w:lang w:val="uk-UA"/>
              </w:rPr>
            </w:pPr>
          </w:p>
        </w:tc>
      </w:tr>
    </w:tbl>
    <w:p w:rsidR="00DF6E38" w:rsidRDefault="00DF6E38">
      <w:pPr>
        <w:ind w:firstLine="709"/>
        <w:rPr>
          <w:color w:val="auto"/>
          <w:szCs w:val="24"/>
          <w:lang w:val="uk-UA"/>
        </w:rPr>
      </w:pPr>
    </w:p>
    <w:p w:rsidR="00DF6E38" w:rsidRDefault="00F17D03">
      <w:pPr>
        <w:ind w:firstLine="709"/>
        <w:rPr>
          <w:b/>
          <w:color w:val="auto"/>
          <w:szCs w:val="24"/>
          <w:lang w:val="uk-UA"/>
        </w:rPr>
      </w:pPr>
      <w:r>
        <w:rPr>
          <w:b/>
          <w:color w:val="auto"/>
          <w:szCs w:val="24"/>
          <w:lang w:val="uk-UA"/>
        </w:rPr>
        <w:t>2. Вимірювання впливу регулювання на суб’єктів малого підприємництва мікро- та малі):</w:t>
      </w:r>
    </w:p>
    <w:p w:rsidR="00DF6E38" w:rsidRDefault="00DF6E38">
      <w:pPr>
        <w:ind w:firstLine="709"/>
        <w:rPr>
          <w:color w:val="auto"/>
          <w:lang w:val="uk-UA"/>
        </w:rPr>
      </w:pPr>
    </w:p>
    <w:p w:rsidR="00DF6E38" w:rsidRDefault="00F17D03">
      <w:pPr>
        <w:ind w:firstLine="709"/>
        <w:rPr>
          <w:color w:val="auto"/>
          <w:lang w:val="uk-UA"/>
        </w:rPr>
      </w:pPr>
      <w:r w:rsidRPr="00F17D03">
        <w:rPr>
          <w:color w:val="auto"/>
          <w:szCs w:val="24"/>
          <w:lang w:val="uk-UA"/>
        </w:rPr>
        <w:t xml:space="preserve">Кількість суб’єктів малого підприємництва, на </w:t>
      </w:r>
      <w:r w:rsidR="003479AB">
        <w:rPr>
          <w:color w:val="auto"/>
          <w:szCs w:val="24"/>
          <w:lang w:val="uk-UA"/>
        </w:rPr>
        <w:t>яких поширюється регулювання: 93</w:t>
      </w:r>
      <w:r w:rsidRPr="00F17D03">
        <w:rPr>
          <w:color w:val="auto"/>
          <w:szCs w:val="24"/>
          <w:lang w:val="uk-UA"/>
        </w:rPr>
        <w:t xml:space="preserve"> (одиниць), з них – 17 </w:t>
      </w:r>
      <w:proofErr w:type="spellStart"/>
      <w:r w:rsidRPr="00F17D03">
        <w:rPr>
          <w:color w:val="auto"/>
          <w:szCs w:val="24"/>
          <w:lang w:val="uk-UA"/>
        </w:rPr>
        <w:t>мікропідприємництва</w:t>
      </w:r>
      <w:proofErr w:type="spellEnd"/>
      <w:r w:rsidRPr="00F17D03">
        <w:rPr>
          <w:color w:val="auto"/>
          <w:szCs w:val="24"/>
          <w:lang w:val="uk-UA"/>
        </w:rPr>
        <w:t>.</w:t>
      </w:r>
    </w:p>
    <w:p w:rsidR="00DF6E38" w:rsidRDefault="00F17D03">
      <w:pPr>
        <w:ind w:firstLine="709"/>
        <w:rPr>
          <w:color w:val="auto"/>
          <w:lang w:val="uk-UA"/>
        </w:rPr>
      </w:pPr>
      <w:r>
        <w:rPr>
          <w:color w:val="auto"/>
          <w:szCs w:val="24"/>
          <w:lang w:val="uk-UA"/>
        </w:rPr>
        <w:t>Питома вага суб’єктів малого підприємництва у загальній кількості суб’єктів господарювання, н</w:t>
      </w:r>
      <w:r w:rsidR="003479AB">
        <w:rPr>
          <w:color w:val="auto"/>
          <w:szCs w:val="24"/>
          <w:lang w:val="uk-UA"/>
        </w:rPr>
        <w:t>а яких проблема справляє вплив 98</w:t>
      </w:r>
      <w:r>
        <w:rPr>
          <w:color w:val="auto"/>
          <w:szCs w:val="24"/>
          <w:lang w:val="uk-UA"/>
        </w:rPr>
        <w:t xml:space="preserve"> (відсотків).</w:t>
      </w:r>
    </w:p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p w:rsidR="00DF6E38" w:rsidRDefault="00F17D03">
      <w:pPr>
        <w:ind w:firstLine="709"/>
        <w:rPr>
          <w:b/>
          <w:color w:val="auto"/>
          <w:szCs w:val="24"/>
          <w:lang w:val="uk-UA"/>
        </w:rPr>
      </w:pPr>
      <w:r>
        <w:rPr>
          <w:b/>
          <w:color w:val="auto"/>
          <w:szCs w:val="24"/>
          <w:lang w:val="uk-UA"/>
        </w:rPr>
        <w:t>3. Розрахунок витрат суб’єктів малого підприємництва на виконання вимог регулювання</w:t>
      </w:r>
    </w:p>
    <w:p w:rsidR="00DF6E38" w:rsidRDefault="00DF6E38">
      <w:pPr>
        <w:ind w:firstLine="709"/>
        <w:rPr>
          <w:color w:val="auto"/>
          <w:lang w:val="uk-U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64"/>
        <w:gridCol w:w="3230"/>
        <w:gridCol w:w="31"/>
        <w:gridCol w:w="2106"/>
        <w:gridCol w:w="245"/>
        <w:gridCol w:w="1562"/>
        <w:gridCol w:w="139"/>
        <w:gridCol w:w="1671"/>
      </w:tblGrid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№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Найменування оцінки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Періодичні (за наступний рік)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Витрати за п’ять років</w:t>
            </w:r>
          </w:p>
        </w:tc>
      </w:tr>
      <w:tr w:rsidR="00DF6E38"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Оцінка </w:t>
            </w:r>
            <w:r w:rsidR="00917377">
              <w:rPr>
                <w:rFonts w:cs="Calibri"/>
                <w:color w:val="auto"/>
                <w:sz w:val="20"/>
                <w:lang w:val="uk-UA"/>
              </w:rPr>
              <w:t>«</w:t>
            </w:r>
            <w:r>
              <w:rPr>
                <w:color w:val="auto"/>
                <w:sz w:val="20"/>
                <w:lang w:val="uk-UA"/>
              </w:rPr>
              <w:t>прямих</w:t>
            </w:r>
            <w:r w:rsidR="00917377">
              <w:rPr>
                <w:rFonts w:cs="Calibri"/>
                <w:color w:val="auto"/>
                <w:sz w:val="20"/>
                <w:lang w:val="uk-UA"/>
              </w:rPr>
              <w:t xml:space="preserve">» </w:t>
            </w:r>
            <w:r>
              <w:rPr>
                <w:color w:val="auto"/>
                <w:sz w:val="20"/>
                <w:lang w:val="uk-UA"/>
              </w:rPr>
              <w:t>витрат суб’єктів малого підприємництва на виконання регулювання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 w:rsidRPr="00F17D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 w:rsidRPr="00F17D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5</w:t>
            </w:r>
          </w:p>
        </w:tc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Податки і збори </w:t>
            </w:r>
          </w:p>
        </w:tc>
        <w:tc>
          <w:tcPr>
            <w:tcW w:w="2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345,04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345,04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1725,2</w:t>
            </w:r>
            <w:r w:rsidR="00F17D03"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Разом, гривень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 w:rsidRPr="00F17D0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Кількість суб’єктів господарювання, що повинні </w:t>
            </w:r>
            <w:r>
              <w:rPr>
                <w:color w:val="auto"/>
                <w:sz w:val="20"/>
                <w:lang w:val="uk-UA"/>
              </w:rPr>
              <w:lastRenderedPageBreak/>
              <w:t>виконати вимоги регулювання, одиниць</w:t>
            </w:r>
          </w:p>
        </w:tc>
        <w:tc>
          <w:tcPr>
            <w:tcW w:w="5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Pr="00F17D03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>93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Сумарно, гривень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130584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32088,7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130584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32088,7</w:t>
            </w:r>
            <w:r w:rsidR="00F17D03"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Pr="00F17D03" w:rsidRDefault="00130584" w:rsidP="00130584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</w:t>
            </w:r>
            <w:r w:rsidR="00917377">
              <w:rPr>
                <w:color w:val="auto"/>
                <w:sz w:val="20"/>
                <w:lang w:val="uk-UA"/>
              </w:rPr>
              <w:t>60443,5</w:t>
            </w:r>
          </w:p>
        </w:tc>
      </w:tr>
      <w:tr w:rsidR="00DF6E38">
        <w:tc>
          <w:tcPr>
            <w:tcW w:w="9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Розрахунок вартості 1 людино-години:</w:t>
            </w:r>
          </w:p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Мінімальна заробітна плата на 2021 рік — 6000,0 грн. (погодинна — 36,11 грн.)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отримання первинної інформації про вимоги регулювання (одноразово)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організації виконання вимог регулювання:</w:t>
            </w:r>
          </w:p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Внесення змін до внутрішніх процедур обліку та звітності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офіційного звітування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72 </w:t>
            </w:r>
          </w:p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(36,11 х 2)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72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360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72 </w:t>
            </w:r>
          </w:p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(36,11 х 2)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Pr="00F17D03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 w:rsidRPr="00F17D03">
              <w:rPr>
                <w:color w:val="auto"/>
                <w:sz w:val="20"/>
                <w:lang w:val="uk-UA"/>
              </w:rPr>
              <w:t>72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360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Інші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Разом, гривень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144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144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720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93</w:t>
            </w:r>
          </w:p>
        </w:tc>
      </w:tr>
      <w:tr w:rsidR="00DF6E38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Сумарно, гривень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13392,00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13392,00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66960,00</w:t>
            </w:r>
          </w:p>
        </w:tc>
      </w:tr>
    </w:tbl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p w:rsidR="00DF6E38" w:rsidRDefault="00F17D03">
      <w:pPr>
        <w:ind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Бюджетні витрати на адміністрування регулювання суб’єктів малого підприємництва відсутні.</w:t>
      </w:r>
    </w:p>
    <w:p w:rsidR="00DF6E38" w:rsidRDefault="00DF6E38">
      <w:pPr>
        <w:ind w:firstLine="709"/>
        <w:rPr>
          <w:color w:val="auto"/>
          <w:lang w:val="uk-UA"/>
        </w:rPr>
      </w:pPr>
    </w:p>
    <w:p w:rsidR="00DF6E38" w:rsidRDefault="00F17D03">
      <w:pPr>
        <w:ind w:firstLine="709"/>
        <w:rPr>
          <w:b/>
          <w:color w:val="auto"/>
          <w:szCs w:val="24"/>
          <w:lang w:val="uk-UA"/>
        </w:rPr>
      </w:pPr>
      <w:r>
        <w:rPr>
          <w:b/>
          <w:color w:val="auto"/>
          <w:szCs w:val="24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DF6E38" w:rsidRDefault="00DF6E38">
      <w:pPr>
        <w:ind w:firstLine="709"/>
        <w:rPr>
          <w:color w:val="auto"/>
          <w:lang w:val="uk-U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251"/>
        <w:gridCol w:w="2394"/>
        <w:gridCol w:w="2402"/>
      </w:tblGrid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Показник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Перший рік регулювання (стартовий), гривень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За п’ять років, гривень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917377" w:rsidP="00917377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Оцінка «</w:t>
            </w:r>
            <w:r w:rsidR="00F17D03">
              <w:rPr>
                <w:color w:val="auto"/>
                <w:sz w:val="20"/>
                <w:lang w:val="uk-UA"/>
              </w:rPr>
              <w:t>прямих</w:t>
            </w:r>
            <w:r>
              <w:rPr>
                <w:color w:val="auto"/>
                <w:sz w:val="20"/>
                <w:lang w:val="uk-UA"/>
              </w:rPr>
              <w:t>»</w:t>
            </w:r>
            <w:r w:rsidR="00F17D03">
              <w:rPr>
                <w:color w:val="auto"/>
                <w:sz w:val="20"/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32088,7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917377" w:rsidP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160443,5</w:t>
            </w:r>
            <w:r w:rsidR="00F17D03"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13392,00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66960,00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917377" w:rsidP="003479A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45480,7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917377" w:rsidP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227403,5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917377" w:rsidP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45480,7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227403,5</w:t>
            </w:r>
          </w:p>
        </w:tc>
      </w:tr>
    </w:tbl>
    <w:p w:rsidR="00DF6E38" w:rsidRDefault="00DF6E38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</w:p>
    <w:p w:rsidR="002E132B" w:rsidRDefault="002E132B">
      <w:pPr>
        <w:jc w:val="center"/>
        <w:rPr>
          <w:b/>
          <w:color w:val="auto"/>
          <w:szCs w:val="24"/>
          <w:lang w:val="uk-UA"/>
        </w:rPr>
      </w:pPr>
    </w:p>
    <w:p w:rsidR="00DF6E38" w:rsidRDefault="00F17D03">
      <w:pPr>
        <w:jc w:val="center"/>
        <w:rPr>
          <w:b/>
          <w:color w:val="auto"/>
          <w:szCs w:val="24"/>
          <w:lang w:val="uk-UA"/>
        </w:rPr>
      </w:pPr>
      <w:r>
        <w:rPr>
          <w:b/>
          <w:color w:val="auto"/>
          <w:szCs w:val="24"/>
          <w:lang w:val="uk-UA"/>
        </w:rPr>
        <w:t>5. Розроблення корегуючи (пом’якшувальних) заходів для малого підприємництва щодо запропонованого регулювання</w:t>
      </w:r>
    </w:p>
    <w:p w:rsidR="00DF6E38" w:rsidRDefault="00DF6E38">
      <w:pPr>
        <w:jc w:val="center"/>
        <w:rPr>
          <w:color w:val="auto"/>
          <w:lang w:val="uk-UA"/>
        </w:rPr>
      </w:pPr>
    </w:p>
    <w:p w:rsidR="00DF6E38" w:rsidRDefault="00F17D03">
      <w:pPr>
        <w:ind w:firstLine="709"/>
        <w:rPr>
          <w:color w:val="auto"/>
          <w:lang w:val="uk-UA"/>
        </w:rPr>
      </w:pPr>
      <w:r>
        <w:rPr>
          <w:color w:val="auto"/>
          <w:szCs w:val="24"/>
          <w:lang w:val="uk-UA"/>
        </w:rPr>
        <w:t>На основі аналізу статистичних даних визначено, що зазначена сума є прийнятою для суб’єктів малого підприємництва і впровадження компенсаторних (пом’якшувальних) процедур не потребує.</w:t>
      </w:r>
    </w:p>
    <w:p w:rsidR="00DF6E38" w:rsidRDefault="00F17D03">
      <w:pPr>
        <w:ind w:firstLine="709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>Виходячи з цього, повторна оцінка витрат суб’єктів малого підприємництва для скорегованих процедур складає:</w:t>
      </w:r>
    </w:p>
    <w:p w:rsidR="002E132B" w:rsidRDefault="002E132B">
      <w:pPr>
        <w:ind w:firstLine="709"/>
        <w:rPr>
          <w:color w:val="auto"/>
          <w:szCs w:val="24"/>
          <w:lang w:val="uk-UA"/>
        </w:rPr>
      </w:pPr>
    </w:p>
    <w:p w:rsidR="002E132B" w:rsidRDefault="002E132B">
      <w:pPr>
        <w:ind w:firstLine="709"/>
        <w:rPr>
          <w:color w:val="auto"/>
          <w:szCs w:val="24"/>
          <w:lang w:val="uk-UA"/>
        </w:rPr>
      </w:pPr>
    </w:p>
    <w:tbl>
      <w:tblPr>
        <w:tblW w:w="945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369"/>
        <w:gridCol w:w="2700"/>
        <w:gridCol w:w="2385"/>
      </w:tblGrid>
      <w:tr w:rsidR="00DF6E3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2B" w:rsidRDefault="002E132B">
            <w:pPr>
              <w:jc w:val="center"/>
              <w:rPr>
                <w:color w:val="auto"/>
                <w:sz w:val="20"/>
                <w:lang w:val="uk-UA"/>
              </w:rPr>
            </w:pPr>
          </w:p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 xml:space="preserve">Показник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 xml:space="preserve">Сумарні витрати малого </w:t>
            </w:r>
            <w:r>
              <w:rPr>
                <w:color w:val="auto"/>
                <w:sz w:val="20"/>
                <w:lang w:val="uk-UA"/>
              </w:rPr>
              <w:lastRenderedPageBreak/>
              <w:t>підприємництва на виконання запланованого регулювання за перший рік, гривень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 xml:space="preserve">Сумарні витрати малого </w:t>
            </w:r>
            <w:r>
              <w:rPr>
                <w:color w:val="auto"/>
                <w:sz w:val="20"/>
                <w:lang w:val="uk-UA"/>
              </w:rPr>
              <w:lastRenderedPageBreak/>
              <w:t>підприємництва на виконання запланованого регулювання за п’ять років, гривень</w:t>
            </w:r>
          </w:p>
        </w:tc>
      </w:tr>
      <w:tr w:rsidR="00DF6E3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lastRenderedPageBreak/>
              <w:t>Заплановане регулювання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917377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45480,7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2E132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227403,5</w:t>
            </w:r>
          </w:p>
        </w:tc>
      </w:tr>
      <w:tr w:rsidR="00DF6E3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F17D03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0</w:t>
            </w:r>
          </w:p>
        </w:tc>
      </w:tr>
      <w:tr w:rsidR="00DF6E38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F17D03">
            <w:pPr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Сумарно: зміна вартості регулювання малого підприємництва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E38" w:rsidRDefault="002E132B" w:rsidP="002E132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45480,7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E38" w:rsidRDefault="002E132B">
            <w:pPr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227403,5</w:t>
            </w:r>
          </w:p>
        </w:tc>
      </w:tr>
    </w:tbl>
    <w:p w:rsidR="00DF6E38" w:rsidRDefault="00DF6E38">
      <w:pPr>
        <w:ind w:firstLine="709"/>
        <w:rPr>
          <w:color w:val="auto"/>
          <w:szCs w:val="24"/>
          <w:lang w:val="uk-UA"/>
        </w:rPr>
      </w:pPr>
    </w:p>
    <w:p w:rsidR="00DF6E38" w:rsidRDefault="00F17D03">
      <w:pPr>
        <w:ind w:firstLine="708"/>
        <w:rPr>
          <w:color w:val="auto"/>
          <w:szCs w:val="24"/>
          <w:lang w:val="uk-UA"/>
        </w:rPr>
      </w:pPr>
      <w:r>
        <w:rPr>
          <w:color w:val="auto"/>
          <w:szCs w:val="24"/>
          <w:lang w:val="uk-UA"/>
        </w:rPr>
        <w:t xml:space="preserve">М-Тест розроблено </w:t>
      </w:r>
      <w:r w:rsidR="007C3115">
        <w:rPr>
          <w:color w:val="auto"/>
          <w:szCs w:val="24"/>
          <w:lang w:val="uk-UA"/>
        </w:rPr>
        <w:t>в.о. завідувача сектору земельних відносин Авдіївської міської</w:t>
      </w:r>
      <w:r>
        <w:rPr>
          <w:color w:val="auto"/>
          <w:szCs w:val="24"/>
          <w:lang w:val="uk-UA"/>
        </w:rPr>
        <w:t xml:space="preserve"> військово-цивільн</w:t>
      </w:r>
      <w:r w:rsidR="007C3115">
        <w:rPr>
          <w:color w:val="auto"/>
          <w:szCs w:val="24"/>
          <w:lang w:val="uk-UA"/>
        </w:rPr>
        <w:t xml:space="preserve">ої адміністрації Покровського району </w:t>
      </w:r>
      <w:r>
        <w:rPr>
          <w:color w:val="auto"/>
          <w:szCs w:val="24"/>
          <w:lang w:val="uk-UA"/>
        </w:rPr>
        <w:t>Донецької області.</w:t>
      </w:r>
    </w:p>
    <w:p w:rsidR="00DF6E38" w:rsidRDefault="00DF6E38">
      <w:pPr>
        <w:ind w:firstLine="708"/>
        <w:rPr>
          <w:color w:val="auto"/>
          <w:szCs w:val="24"/>
          <w:lang w:val="uk-UA"/>
        </w:rPr>
      </w:pPr>
    </w:p>
    <w:p w:rsidR="00DF6E38" w:rsidRDefault="00DF6E38">
      <w:pPr>
        <w:ind w:firstLine="708"/>
        <w:rPr>
          <w:color w:val="auto"/>
          <w:szCs w:val="24"/>
          <w:lang w:val="uk-UA"/>
        </w:rPr>
      </w:pPr>
    </w:p>
    <w:p w:rsidR="00DF6E38" w:rsidRDefault="00DF6E38">
      <w:pPr>
        <w:tabs>
          <w:tab w:val="left" w:pos="742"/>
        </w:tabs>
        <w:rPr>
          <w:color w:val="auto"/>
          <w:szCs w:val="24"/>
          <w:lang w:val="uk-UA"/>
        </w:rPr>
      </w:pPr>
    </w:p>
    <w:p w:rsidR="00DF6E38" w:rsidRDefault="007C3115">
      <w:pPr>
        <w:widowControl/>
        <w:suppressAutoHyphens w:val="0"/>
        <w:overflowPunct w:val="0"/>
        <w:jc w:val="left"/>
        <w:textAlignment w:val="auto"/>
        <w:rPr>
          <w:color w:val="auto"/>
          <w:szCs w:val="24"/>
          <w:lang w:val="uk-UA" w:eastAsia="ru-RU"/>
        </w:rPr>
      </w:pPr>
      <w:r>
        <w:rPr>
          <w:color w:val="auto"/>
          <w:szCs w:val="24"/>
          <w:lang w:val="uk-UA"/>
        </w:rPr>
        <w:t xml:space="preserve">В.о. завідувача сектору земельних відносин      </w:t>
      </w:r>
      <w:r w:rsidR="00F17D03">
        <w:rPr>
          <w:color w:val="auto"/>
          <w:szCs w:val="24"/>
          <w:lang w:val="uk-UA"/>
        </w:rPr>
        <w:t xml:space="preserve">                           Людмила БАЛАБАНОВА</w:t>
      </w:r>
    </w:p>
    <w:sectPr w:rsidR="00DF6E38">
      <w:headerReference w:type="defaul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E8" w:rsidRDefault="007C2CE8">
      <w:r>
        <w:separator/>
      </w:r>
    </w:p>
  </w:endnote>
  <w:endnote w:type="continuationSeparator" w:id="0">
    <w:p w:rsidR="007C2CE8" w:rsidRDefault="007C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</w:font>
  <w:font w:name="WenQuanYi Zen Hei;Times New Rom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E8" w:rsidRDefault="007C2CE8">
      <w:r>
        <w:separator/>
      </w:r>
    </w:p>
  </w:footnote>
  <w:footnote w:type="continuationSeparator" w:id="0">
    <w:p w:rsidR="007C2CE8" w:rsidRDefault="007C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B2" w:rsidRDefault="008378B2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A48FD">
      <w:rPr>
        <w:noProof/>
      </w:rPr>
      <w:t>16</w:t>
    </w:r>
    <w:r>
      <w:fldChar w:fldCharType="end"/>
    </w:r>
  </w:p>
  <w:p w:rsidR="008378B2" w:rsidRDefault="008378B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573"/>
    <w:multiLevelType w:val="multilevel"/>
    <w:tmpl w:val="FE1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9024CD"/>
    <w:multiLevelType w:val="multilevel"/>
    <w:tmpl w:val="23D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BC57D0"/>
    <w:multiLevelType w:val="multilevel"/>
    <w:tmpl w:val="3B3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B84D0E"/>
    <w:multiLevelType w:val="multilevel"/>
    <w:tmpl w:val="B660F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8D0222"/>
    <w:multiLevelType w:val="hybridMultilevel"/>
    <w:tmpl w:val="860E5814"/>
    <w:lvl w:ilvl="0" w:tplc="520279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1FF1E09"/>
    <w:multiLevelType w:val="multilevel"/>
    <w:tmpl w:val="1116ED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8"/>
    <w:rsid w:val="000B5AAC"/>
    <w:rsid w:val="000C7DA8"/>
    <w:rsid w:val="000E39A9"/>
    <w:rsid w:val="000F3D9A"/>
    <w:rsid w:val="00130584"/>
    <w:rsid w:val="00136341"/>
    <w:rsid w:val="001E159F"/>
    <w:rsid w:val="00254BC6"/>
    <w:rsid w:val="002C3AA4"/>
    <w:rsid w:val="002E015F"/>
    <w:rsid w:val="002E132B"/>
    <w:rsid w:val="002E64CF"/>
    <w:rsid w:val="00321D32"/>
    <w:rsid w:val="003431E1"/>
    <w:rsid w:val="003479AB"/>
    <w:rsid w:val="00373874"/>
    <w:rsid w:val="003A48FD"/>
    <w:rsid w:val="003B5873"/>
    <w:rsid w:val="00456D4B"/>
    <w:rsid w:val="004604E2"/>
    <w:rsid w:val="00517E42"/>
    <w:rsid w:val="00517E95"/>
    <w:rsid w:val="0059148F"/>
    <w:rsid w:val="00611A8F"/>
    <w:rsid w:val="00622ED8"/>
    <w:rsid w:val="00651A73"/>
    <w:rsid w:val="006C415F"/>
    <w:rsid w:val="006F6A66"/>
    <w:rsid w:val="00714DDE"/>
    <w:rsid w:val="00796DEF"/>
    <w:rsid w:val="007C2CE8"/>
    <w:rsid w:val="007C3115"/>
    <w:rsid w:val="00811701"/>
    <w:rsid w:val="008378B2"/>
    <w:rsid w:val="008615ED"/>
    <w:rsid w:val="008C1F55"/>
    <w:rsid w:val="009115AE"/>
    <w:rsid w:val="00917377"/>
    <w:rsid w:val="00940BD7"/>
    <w:rsid w:val="0095011C"/>
    <w:rsid w:val="009D6106"/>
    <w:rsid w:val="00A6268E"/>
    <w:rsid w:val="00AF2D48"/>
    <w:rsid w:val="00B25FA8"/>
    <w:rsid w:val="00B5226D"/>
    <w:rsid w:val="00B5712C"/>
    <w:rsid w:val="00C00B6F"/>
    <w:rsid w:val="00C445C8"/>
    <w:rsid w:val="00C61683"/>
    <w:rsid w:val="00D941B6"/>
    <w:rsid w:val="00DA1786"/>
    <w:rsid w:val="00DF6E38"/>
    <w:rsid w:val="00E541A4"/>
    <w:rsid w:val="00E866C7"/>
    <w:rsid w:val="00EE5535"/>
    <w:rsid w:val="00F17D03"/>
    <w:rsid w:val="00F521CA"/>
    <w:rsid w:val="00F71234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57E0"/>
  <w15:docId w15:val="{E4F552E3-224A-4089-BC94-2B9A730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Marath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AB"/>
    <w:pPr>
      <w:widowControl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  <w:color w:val="000000"/>
      <w:szCs w:val="28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OpenSymbol"/>
      <w:szCs w:val="28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2">
    <w:name w:val="WW8Num2z2"/>
    <w:qFormat/>
    <w:rPr>
      <w:rFonts w:ascii="Times New Roman" w:hAnsi="Times New Roman" w:cs="Times New Roman"/>
      <w:i w:val="0"/>
      <w:caps w:val="0"/>
      <w:smallCaps w:val="0"/>
      <w:color w:val="000000"/>
      <w:spacing w:val="0"/>
      <w:w w:val="100"/>
      <w:position w:val="0"/>
      <w:sz w:val="20"/>
      <w:shd w:val="clear" w:color="auto" w:fill="FFFFFF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lang w:val="uk-U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b/>
      <w:color w:val="000000"/>
      <w:u w:val="singl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  <w:u w:val="singl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Arial Unicode MS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strike w:val="0"/>
      <w:dstrike w:val="0"/>
      <w:color w:val="006699"/>
      <w:u w:val="none"/>
    </w:rPr>
  </w:style>
  <w:style w:type="character" w:customStyle="1" w:styleId="rvts23">
    <w:name w:val="rvts23"/>
    <w:basedOn w:val="1"/>
    <w:qFormat/>
  </w:style>
  <w:style w:type="character" w:customStyle="1" w:styleId="a3">
    <w:name w:val="Основной текст Знак"/>
    <w:qFormat/>
    <w:rPr>
      <w:rFonts w:ascii="PT Astra Serif" w:eastAsia="WenQuanYi Zen Hei;Times New Rom" w:hAnsi="PT Astra Serif" w:cs="Lohit Marathi;Times New Roman"/>
      <w:sz w:val="28"/>
      <w:szCs w:val="24"/>
      <w:lang w:val="uk-UA" w:eastAsia="zh-CN" w:bidi="hi-IN"/>
    </w:rPr>
  </w:style>
  <w:style w:type="character" w:customStyle="1" w:styleId="2">
    <w:name w:val="Подпись к таблице (2)_"/>
    <w:qFormat/>
    <w:rPr>
      <w:shd w:val="clear" w:color="auto" w:fill="FFFFFF"/>
    </w:rPr>
  </w:style>
  <w:style w:type="character" w:customStyle="1" w:styleId="FontStyle44">
    <w:name w:val="Font Style44"/>
    <w:qFormat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rvts15">
    <w:name w:val="rvts15"/>
    <w:basedOn w:val="1"/>
    <w:qFormat/>
  </w:style>
  <w:style w:type="character" w:customStyle="1" w:styleId="a4">
    <w:name w:val="Основной текст с отступом Знак"/>
    <w:qFormat/>
    <w:rPr>
      <w:color w:val="000000"/>
      <w:sz w:val="24"/>
    </w:rPr>
  </w:style>
  <w:style w:type="character" w:customStyle="1" w:styleId="rvts0">
    <w:name w:val="rvts0"/>
    <w:basedOn w:val="1"/>
    <w:qFormat/>
  </w:style>
  <w:style w:type="character" w:customStyle="1" w:styleId="20">
    <w:name w:val="Основной текст (2)_"/>
    <w:qFormat/>
    <w:rPr>
      <w:shd w:val="clear" w:color="auto" w:fill="FFFFFF"/>
    </w:rPr>
  </w:style>
  <w:style w:type="character" w:customStyle="1" w:styleId="4">
    <w:name w:val="Основной текст (4)_"/>
    <w:qFormat/>
    <w:rPr>
      <w:i/>
      <w:iCs/>
      <w:shd w:val="clear" w:color="auto" w:fill="FFFFFF"/>
    </w:rPr>
  </w:style>
  <w:style w:type="character" w:customStyle="1" w:styleId="21">
    <w:name w:val="Основной текст (2)"/>
    <w:qFormat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qFormat/>
    <w:rPr>
      <w:shd w:val="clear" w:color="auto" w:fill="FFFFFF"/>
    </w:rPr>
  </w:style>
  <w:style w:type="character" w:customStyle="1" w:styleId="apple-converted-space">
    <w:name w:val="apple-converted-space"/>
    <w:basedOn w:val="1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Текст выноски Знак"/>
    <w:qFormat/>
    <w:rPr>
      <w:rFonts w:ascii="Segoe UI" w:hAnsi="Segoe UI" w:cs="Segoe UI"/>
      <w:color w:val="000000"/>
      <w:sz w:val="18"/>
      <w:szCs w:val="18"/>
      <w:lang w:eastAsia="zh-CN"/>
    </w:rPr>
  </w:style>
  <w:style w:type="character" w:customStyle="1" w:styleId="a7">
    <w:name w:val="Верхний колонтитул Знак"/>
    <w:qFormat/>
    <w:rPr>
      <w:color w:val="000000"/>
      <w:sz w:val="24"/>
      <w:lang w:eastAsia="zh-CN"/>
    </w:rPr>
  </w:style>
  <w:style w:type="character" w:customStyle="1" w:styleId="a8">
    <w:name w:val="Нижний колонтитул Знак"/>
    <w:qFormat/>
    <w:rPr>
      <w:color w:val="000000"/>
      <w:sz w:val="24"/>
      <w:lang w:eastAsia="zh-CN"/>
    </w:rPr>
  </w:style>
  <w:style w:type="character" w:customStyle="1" w:styleId="rvts82">
    <w:name w:val="rvts82"/>
    <w:basedOn w:val="a0"/>
    <w:qFormat/>
    <w:rsid w:val="00026CF0"/>
  </w:style>
  <w:style w:type="character" w:customStyle="1" w:styleId="rvts11">
    <w:name w:val="rvts11"/>
    <w:basedOn w:val="a0"/>
    <w:qFormat/>
    <w:rsid w:val="00F456A4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Marathi"/>
      <w:sz w:val="28"/>
      <w:szCs w:val="28"/>
    </w:rPr>
  </w:style>
  <w:style w:type="paragraph" w:styleId="aa">
    <w:name w:val="Body Text"/>
    <w:basedOn w:val="a"/>
    <w:pPr>
      <w:widowControl/>
      <w:overflowPunct w:val="0"/>
      <w:spacing w:after="140" w:line="288" w:lineRule="auto"/>
      <w:jc w:val="left"/>
      <w:textAlignment w:val="auto"/>
    </w:pPr>
    <w:rPr>
      <w:rFonts w:ascii="PT Astra Serif" w:eastAsia="WenQuanYi Zen Hei;Times New Rom" w:hAnsi="PT Astra Serif" w:cs="Lohit Marathi;Times New Roman"/>
      <w:sz w:val="28"/>
      <w:szCs w:val="24"/>
      <w:lang w:val="uk-UA" w:bidi="hi-IN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ohit Marathi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qFormat/>
    <w:pPr>
      <w:widowControl/>
      <w:suppressAutoHyphens w:val="0"/>
      <w:overflowPunct w:val="0"/>
      <w:spacing w:before="280" w:after="280"/>
      <w:jc w:val="left"/>
      <w:textAlignment w:val="auto"/>
    </w:pPr>
    <w:rPr>
      <w:szCs w:val="24"/>
    </w:rPr>
  </w:style>
  <w:style w:type="paragraph" w:styleId="af">
    <w:name w:val="List Paragraph"/>
    <w:basedOn w:val="a"/>
    <w:qFormat/>
    <w:pPr>
      <w:ind w:left="708"/>
    </w:pPr>
  </w:style>
  <w:style w:type="paragraph" w:customStyle="1" w:styleId="Standard">
    <w:name w:val="Standard"/>
    <w:basedOn w:val="a"/>
    <w:qFormat/>
    <w:pPr>
      <w:overflowPunct w:val="0"/>
      <w:jc w:val="left"/>
      <w:textAlignment w:val="auto"/>
    </w:pPr>
    <w:rPr>
      <w:rFonts w:eastAsia="SimSun;宋体"/>
      <w:sz w:val="20"/>
      <w:lang w:val="uk-UA"/>
    </w:rPr>
  </w:style>
  <w:style w:type="paragraph" w:customStyle="1" w:styleId="af0">
    <w:name w:val="Содержимое таблицы"/>
    <w:basedOn w:val="a"/>
    <w:qFormat/>
    <w:pPr>
      <w:widowControl/>
      <w:suppressLineNumbers/>
      <w:overflowPunct w:val="0"/>
      <w:jc w:val="left"/>
      <w:textAlignment w:val="auto"/>
    </w:pPr>
    <w:rPr>
      <w:rFonts w:ascii="PT Astra Serif" w:eastAsia="WenQuanYi Zen Hei;Times New Rom" w:hAnsi="PT Astra Serif" w:cs="Lohit Marathi;Times New Roman"/>
      <w:sz w:val="28"/>
      <w:szCs w:val="24"/>
      <w:lang w:val="uk-UA" w:bidi="hi-IN"/>
    </w:rPr>
  </w:style>
  <w:style w:type="paragraph" w:customStyle="1" w:styleId="22">
    <w:name w:val="Подпись к таблице (2)"/>
    <w:basedOn w:val="a"/>
    <w:qFormat/>
    <w:pPr>
      <w:shd w:val="clear" w:color="auto" w:fill="FFFFFF"/>
      <w:suppressAutoHyphens w:val="0"/>
      <w:overflowPunct w:val="0"/>
      <w:spacing w:line="283" w:lineRule="exact"/>
      <w:ind w:firstLine="720"/>
      <w:jc w:val="left"/>
      <w:textAlignment w:val="auto"/>
    </w:pPr>
    <w:rPr>
      <w:sz w:val="20"/>
    </w:rPr>
  </w:style>
  <w:style w:type="paragraph" w:customStyle="1" w:styleId="Style21">
    <w:name w:val="Style21"/>
    <w:basedOn w:val="a"/>
    <w:qFormat/>
    <w:pPr>
      <w:suppressAutoHyphens w:val="0"/>
      <w:overflowPunct w:val="0"/>
      <w:spacing w:line="324" w:lineRule="exact"/>
      <w:ind w:firstLine="696"/>
      <w:jc w:val="left"/>
      <w:textAlignment w:val="auto"/>
    </w:pPr>
    <w:rPr>
      <w:szCs w:val="24"/>
      <w:lang w:val="uk-U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Style18">
    <w:name w:val="Style18"/>
    <w:basedOn w:val="a"/>
    <w:qFormat/>
    <w:pPr>
      <w:suppressAutoHyphens w:val="0"/>
      <w:overflowPunct w:val="0"/>
      <w:spacing w:line="322" w:lineRule="exact"/>
      <w:ind w:firstLine="691"/>
      <w:textAlignment w:val="auto"/>
    </w:pPr>
    <w:rPr>
      <w:szCs w:val="24"/>
      <w:lang w:val="uk-UA"/>
    </w:rPr>
  </w:style>
  <w:style w:type="paragraph" w:customStyle="1" w:styleId="210">
    <w:name w:val="Основной текст (2)1"/>
    <w:basedOn w:val="a"/>
    <w:qFormat/>
    <w:pPr>
      <w:shd w:val="clear" w:color="auto" w:fill="FFFFFF"/>
      <w:suppressAutoHyphens w:val="0"/>
      <w:overflowPunct w:val="0"/>
      <w:spacing w:before="480" w:after="240" w:line="274" w:lineRule="exact"/>
      <w:ind w:hanging="360"/>
      <w:textAlignment w:val="auto"/>
    </w:pPr>
    <w:rPr>
      <w:sz w:val="20"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overflowPunct w:val="0"/>
      <w:spacing w:before="240" w:line="274" w:lineRule="exact"/>
      <w:ind w:firstLine="740"/>
      <w:textAlignment w:val="auto"/>
    </w:pPr>
    <w:rPr>
      <w:b/>
      <w:bCs/>
      <w:i/>
      <w:iCs/>
      <w:sz w:val="20"/>
    </w:rPr>
  </w:style>
  <w:style w:type="paragraph" w:customStyle="1" w:styleId="30">
    <w:name w:val="Основной текст (3)"/>
    <w:basedOn w:val="a"/>
    <w:qFormat/>
    <w:pPr>
      <w:shd w:val="clear" w:color="auto" w:fill="FFFFFF"/>
      <w:suppressAutoHyphens w:val="0"/>
      <w:overflowPunct w:val="0"/>
      <w:spacing w:after="480" w:line="274" w:lineRule="exact"/>
      <w:jc w:val="center"/>
      <w:textAlignment w:val="auto"/>
    </w:pPr>
    <w:rPr>
      <w:b/>
      <w:bCs/>
      <w:sz w:val="20"/>
    </w:rPr>
  </w:style>
  <w:style w:type="paragraph" w:customStyle="1" w:styleId="rvps2">
    <w:name w:val="rvps2"/>
    <w:basedOn w:val="a"/>
    <w:qFormat/>
    <w:pPr>
      <w:widowControl/>
      <w:suppressAutoHyphens w:val="0"/>
      <w:overflowPunct w:val="0"/>
      <w:spacing w:before="280" w:after="280"/>
      <w:jc w:val="left"/>
      <w:textAlignment w:val="auto"/>
    </w:pPr>
    <w:rPr>
      <w:szCs w:val="24"/>
    </w:rPr>
  </w:style>
  <w:style w:type="paragraph" w:customStyle="1" w:styleId="af2">
    <w:name w:val="Заголовок таблицы"/>
    <w:basedOn w:val="af0"/>
    <w:qFormat/>
    <w:pPr>
      <w:jc w:val="center"/>
    </w:pPr>
    <w:rPr>
      <w:b/>
      <w:bCs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rvps12">
    <w:name w:val="rvps12"/>
    <w:basedOn w:val="a"/>
    <w:qFormat/>
    <w:rsid w:val="00026CF0"/>
    <w:pPr>
      <w:widowControl/>
      <w:suppressAutoHyphens w:val="0"/>
      <w:overflowPunct w:val="0"/>
      <w:spacing w:beforeAutospacing="1" w:afterAutospacing="1"/>
      <w:jc w:val="left"/>
      <w:textAlignment w:val="auto"/>
    </w:pPr>
    <w:rPr>
      <w:color w:val="auto"/>
      <w:szCs w:val="24"/>
      <w:lang w:eastAsia="ru-RU"/>
    </w:rPr>
  </w:style>
  <w:style w:type="paragraph" w:customStyle="1" w:styleId="rvps14">
    <w:name w:val="rvps14"/>
    <w:basedOn w:val="a"/>
    <w:qFormat/>
    <w:rsid w:val="00026CF0"/>
    <w:pPr>
      <w:widowControl/>
      <w:suppressAutoHyphens w:val="0"/>
      <w:overflowPunct w:val="0"/>
      <w:spacing w:beforeAutospacing="1" w:afterAutospacing="1"/>
      <w:jc w:val="left"/>
      <w:textAlignment w:val="auto"/>
    </w:pPr>
    <w:rPr>
      <w:color w:val="auto"/>
      <w:szCs w:val="24"/>
      <w:lang w:eastAsia="ru-RU"/>
    </w:rPr>
  </w:style>
  <w:style w:type="paragraph" w:customStyle="1" w:styleId="rvps3">
    <w:name w:val="rvps3"/>
    <w:basedOn w:val="a"/>
    <w:qFormat/>
    <w:rsid w:val="00026CF0"/>
    <w:pPr>
      <w:widowControl/>
      <w:suppressAutoHyphens w:val="0"/>
      <w:overflowPunct w:val="0"/>
      <w:spacing w:beforeAutospacing="1" w:afterAutospacing="1"/>
      <w:jc w:val="left"/>
      <w:textAlignment w:val="auto"/>
    </w:pPr>
    <w:rPr>
      <w:color w:val="auto"/>
      <w:szCs w:val="24"/>
      <w:lang w:eastAsia="ru-RU"/>
    </w:rPr>
  </w:style>
  <w:style w:type="paragraph" w:customStyle="1" w:styleId="rvps8">
    <w:name w:val="rvps8"/>
    <w:basedOn w:val="a"/>
    <w:qFormat/>
    <w:rsid w:val="00026CF0"/>
    <w:pPr>
      <w:widowControl/>
      <w:suppressAutoHyphens w:val="0"/>
      <w:overflowPunct w:val="0"/>
      <w:spacing w:beforeAutospacing="1" w:afterAutospacing="1"/>
      <w:jc w:val="left"/>
      <w:textAlignment w:val="auto"/>
    </w:pPr>
    <w:rPr>
      <w:color w:val="auto"/>
      <w:szCs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7">
    <w:name w:val="Table Grid"/>
    <w:basedOn w:val="a1"/>
    <w:uiPriority w:val="39"/>
    <w:rsid w:val="0002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815C-A9F3-436A-BD31-5A85086F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28359</Words>
  <Characters>16165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44436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Admin</dc:creator>
  <cp:keywords>  </cp:keywords>
  <dc:description/>
  <cp:lastModifiedBy>User</cp:lastModifiedBy>
  <cp:revision>4</cp:revision>
  <cp:lastPrinted>2021-03-22T06:16:00Z</cp:lastPrinted>
  <dcterms:created xsi:type="dcterms:W3CDTF">2021-05-06T12:07:00Z</dcterms:created>
  <dcterms:modified xsi:type="dcterms:W3CDTF">2021-05-06T12:20:00Z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