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14C5" w:rsidRDefault="00781348">
      <w:pPr>
        <w:widowControl/>
        <w:suppressAutoHyphens w:val="0"/>
        <w:overflowPunct/>
        <w:jc w:val="center"/>
        <w:textAlignment w:val="auto"/>
        <w:rPr>
          <w:b/>
          <w:bCs/>
          <w:szCs w:val="24"/>
          <w:lang w:val="uk-UA"/>
        </w:rPr>
      </w:pPr>
      <w:r>
        <w:rPr>
          <w:b/>
          <w:bCs/>
          <w:color w:val="00000A"/>
          <w:szCs w:val="24"/>
          <w:lang w:val="uk-UA"/>
        </w:rPr>
        <w:t>АНАЛІЗ РЕГУЛЯТОРНОГО ВПЛИВУ</w:t>
      </w:r>
    </w:p>
    <w:p w:rsidR="006B14C5" w:rsidRDefault="00781348">
      <w:pPr>
        <w:jc w:val="center"/>
        <w:rPr>
          <w:color w:val="00000A"/>
          <w:szCs w:val="24"/>
          <w:lang w:val="uk-UA"/>
        </w:rPr>
      </w:pPr>
      <w:r>
        <w:rPr>
          <w:b/>
          <w:bCs/>
          <w:color w:val="00000A"/>
          <w:szCs w:val="24"/>
          <w:lang w:val="uk-UA"/>
        </w:rPr>
        <w:t xml:space="preserve">проекту </w:t>
      </w:r>
      <w:bookmarkStart w:id="0" w:name="__DdeLink__1752_1853065938"/>
      <w:r>
        <w:rPr>
          <w:b/>
          <w:bCs/>
          <w:color w:val="00000A"/>
          <w:szCs w:val="24"/>
          <w:lang w:val="uk-UA"/>
        </w:rPr>
        <w:t>розпорядження керівника Авдіївської міської військово-цивільної адміністрації Покровського району Донецької області “</w:t>
      </w:r>
      <w:bookmarkEnd w:id="0"/>
      <w:r>
        <w:rPr>
          <w:b/>
          <w:bCs/>
          <w:color w:val="00000A"/>
          <w:szCs w:val="24"/>
          <w:lang w:val="uk-UA"/>
        </w:rPr>
        <w:t xml:space="preserve">Про встановлення ставок та пільг із сплати податку на нерухоме майно, відмінне від земельної ділянки, на території </w:t>
      </w:r>
      <w:r>
        <w:rPr>
          <w:b/>
          <w:bCs/>
          <w:lang w:val="uk-UA" w:eastAsia="ru-RU"/>
        </w:rPr>
        <w:t>Авдіївської міської територіальної громади</w:t>
      </w:r>
      <w:r>
        <w:rPr>
          <w:b/>
          <w:bCs/>
          <w:color w:val="00000A"/>
          <w:szCs w:val="24"/>
          <w:lang w:val="uk-UA"/>
        </w:rPr>
        <w:t xml:space="preserve"> Покровського району Донецької області”</w:t>
      </w:r>
    </w:p>
    <w:p w:rsidR="006B14C5" w:rsidRDefault="006B14C5">
      <w:pPr>
        <w:widowControl/>
        <w:suppressAutoHyphens w:val="0"/>
        <w:overflowPunct/>
        <w:jc w:val="center"/>
        <w:textAlignment w:val="auto"/>
        <w:rPr>
          <w:b/>
          <w:bCs/>
          <w:color w:val="00000A"/>
          <w:szCs w:val="24"/>
          <w:lang w:val="uk-UA"/>
        </w:rPr>
      </w:pPr>
    </w:p>
    <w:p w:rsidR="006B14C5" w:rsidRDefault="00781348">
      <w:pPr>
        <w:ind w:firstLine="720"/>
        <w:rPr>
          <w:color w:val="00000A"/>
          <w:szCs w:val="24"/>
          <w:lang w:val="uk-UA"/>
        </w:rPr>
      </w:pPr>
      <w:r>
        <w:rPr>
          <w:color w:val="00000A"/>
          <w:szCs w:val="24"/>
          <w:lang w:val="uk-UA"/>
        </w:rPr>
        <w:t>Цей аналіз регуляторного впливу (</w:t>
      </w:r>
      <w:r w:rsidRPr="005C0E4A">
        <w:rPr>
          <w:color w:val="00000A"/>
          <w:szCs w:val="24"/>
          <w:lang w:val="uk-UA"/>
        </w:rPr>
        <w:t xml:space="preserve">далі </w:t>
      </w:r>
      <w:r w:rsidR="005C0E4A" w:rsidRPr="005C0E4A">
        <w:rPr>
          <w:color w:val="00000A"/>
          <w:szCs w:val="24"/>
          <w:lang w:val="uk-UA"/>
        </w:rPr>
        <w:t>-</w:t>
      </w:r>
      <w:r w:rsidR="005C0E4A">
        <w:rPr>
          <w:color w:val="00000A"/>
          <w:szCs w:val="24"/>
          <w:lang w:val="uk-UA"/>
        </w:rPr>
        <w:t xml:space="preserve"> </w:t>
      </w:r>
      <w:r>
        <w:rPr>
          <w:color w:val="00000A"/>
          <w:szCs w:val="24"/>
          <w:lang w:val="uk-UA"/>
        </w:rPr>
        <w:t xml:space="preserve">Аналіз) розроблений на виконання та </w:t>
      </w:r>
      <w:r w:rsidRPr="005C0E4A">
        <w:rPr>
          <w:color w:val="00000A"/>
          <w:szCs w:val="24"/>
          <w:lang w:val="uk-UA"/>
        </w:rPr>
        <w:t>з дотриманням вимог Закону України “Про засади державної регуляторної політики у сфері господарської діяльності” та Методики провед</w:t>
      </w:r>
      <w:r>
        <w:rPr>
          <w:color w:val="00000A"/>
          <w:szCs w:val="24"/>
          <w:lang w:val="uk-UA"/>
        </w:rPr>
        <w:t xml:space="preserve">ення аналізу впливу регуляторного акту, затвердженої постановою Кабінету Міністрів України від 11.03.2004 №308 і визначає правові та організаційні засади реалізації проекту розпорядження керівника Авдіївської міської військово-цивільної адміністрації Покровського району Донецької області “Про встановлення ставок та пільг із сплати податку на нерухоме майно, відмінне від земельної ділянки, на території </w:t>
      </w:r>
      <w:r>
        <w:rPr>
          <w:bCs/>
          <w:lang w:val="uk-UA" w:eastAsia="ru-RU"/>
        </w:rPr>
        <w:t>Авдіївської міської територіальної громади</w:t>
      </w:r>
      <w:r>
        <w:rPr>
          <w:color w:val="00000A"/>
          <w:szCs w:val="24"/>
          <w:lang w:val="uk-UA"/>
        </w:rPr>
        <w:t xml:space="preserve"> Покровського району Донецької області”.</w:t>
      </w:r>
    </w:p>
    <w:p w:rsidR="006B14C5" w:rsidRDefault="006B14C5">
      <w:pPr>
        <w:ind w:firstLine="720"/>
        <w:rPr>
          <w:color w:val="00000A"/>
          <w:szCs w:val="24"/>
          <w:lang w:val="uk-UA"/>
        </w:rPr>
      </w:pPr>
    </w:p>
    <w:p w:rsidR="006B14C5" w:rsidRDefault="00781348" w:rsidP="00781348">
      <w:pPr>
        <w:jc w:val="center"/>
        <w:rPr>
          <w:szCs w:val="24"/>
          <w:lang w:val="uk-UA"/>
        </w:rPr>
      </w:pPr>
      <w:r>
        <w:rPr>
          <w:b/>
          <w:bCs/>
          <w:color w:val="00000A"/>
          <w:szCs w:val="24"/>
          <w:lang w:val="uk-UA"/>
        </w:rPr>
        <w:t xml:space="preserve">І. </w:t>
      </w:r>
      <w:r>
        <w:rPr>
          <w:b/>
          <w:bCs/>
          <w:caps/>
          <w:color w:val="00000A"/>
          <w:szCs w:val="24"/>
          <w:lang w:val="uk-UA"/>
        </w:rPr>
        <w:t>Визначення проблеми</w:t>
      </w:r>
    </w:p>
    <w:p w:rsidR="006B14C5" w:rsidRDefault="006B14C5">
      <w:pPr>
        <w:ind w:firstLine="708"/>
        <w:rPr>
          <w:szCs w:val="24"/>
          <w:lang w:val="uk-UA"/>
        </w:rPr>
      </w:pPr>
    </w:p>
    <w:p w:rsidR="006B14C5" w:rsidRDefault="00781348">
      <w:pPr>
        <w:ind w:firstLine="708"/>
        <w:rPr>
          <w:color w:val="auto"/>
          <w:szCs w:val="24"/>
          <w:lang w:val="uk-UA"/>
        </w:rPr>
      </w:pPr>
      <w:r>
        <w:rPr>
          <w:szCs w:val="24"/>
          <w:lang w:val="uk-UA"/>
        </w:rPr>
        <w:t xml:space="preserve">Розпорядженням Кабінету </w:t>
      </w:r>
      <w:r>
        <w:rPr>
          <w:color w:val="auto"/>
          <w:szCs w:val="24"/>
          <w:lang w:val="uk-UA"/>
        </w:rPr>
        <w:t>Міністрів України від 12.06.2020 № 710-р «Про визначення адміністративних центрів та затвердження територій територіальних громад Донецької області» було створено Авдіївську міську територіальну громаду</w:t>
      </w:r>
      <w:r>
        <w:rPr>
          <w:color w:val="00000A"/>
          <w:szCs w:val="24"/>
          <w:lang w:val="uk-UA"/>
        </w:rPr>
        <w:t xml:space="preserve"> Покровського району Донецької області </w:t>
      </w:r>
      <w:r>
        <w:rPr>
          <w:color w:val="auto"/>
          <w:szCs w:val="24"/>
          <w:lang w:val="uk-UA"/>
        </w:rPr>
        <w:t xml:space="preserve">у складі міста Авдіївка та селища Опитне </w:t>
      </w:r>
      <w:proofErr w:type="spellStart"/>
      <w:r>
        <w:rPr>
          <w:color w:val="auto"/>
          <w:szCs w:val="24"/>
          <w:lang w:val="uk-UA"/>
        </w:rPr>
        <w:t>Ясинуватського</w:t>
      </w:r>
      <w:proofErr w:type="spellEnd"/>
      <w:r>
        <w:rPr>
          <w:color w:val="auto"/>
          <w:szCs w:val="24"/>
          <w:lang w:val="uk-UA"/>
        </w:rPr>
        <w:t xml:space="preserve"> району (далі </w:t>
      </w:r>
      <w:r w:rsidR="005C0E4A">
        <w:rPr>
          <w:color w:val="auto"/>
          <w:szCs w:val="24"/>
          <w:lang w:val="uk-UA"/>
        </w:rPr>
        <w:t>-</w:t>
      </w:r>
      <w:r>
        <w:rPr>
          <w:color w:val="auto"/>
          <w:szCs w:val="24"/>
          <w:lang w:val="uk-UA"/>
        </w:rPr>
        <w:t xml:space="preserve"> Авдіївська територіальна громада).</w:t>
      </w:r>
    </w:p>
    <w:p w:rsidR="006B14C5" w:rsidRDefault="00781348">
      <w:pPr>
        <w:ind w:firstLine="708"/>
        <w:rPr>
          <w:color w:val="auto"/>
          <w:szCs w:val="24"/>
          <w:lang w:val="uk-UA"/>
        </w:rPr>
      </w:pPr>
      <w:r>
        <w:rPr>
          <w:color w:val="auto"/>
          <w:szCs w:val="24"/>
          <w:lang w:val="uk-UA"/>
        </w:rPr>
        <w:t xml:space="preserve">У зв’язку з тим, що розпорядження керівника військово-цивільної адміністрації міста Авдіївка Донецької області  від 27.06.2018 № 466 «Про встановлення ставок та пільг із сплати податку на нерухоме майно, відмінне від земельної ділянки, на території міста Авдіївка на 2019 рік», дія якого </w:t>
      </w:r>
      <w:r w:rsidRPr="005C0E4A">
        <w:rPr>
          <w:color w:val="auto"/>
          <w:szCs w:val="24"/>
          <w:lang w:val="uk-UA"/>
        </w:rPr>
        <w:t>подовжувалася на</w:t>
      </w:r>
      <w:r>
        <w:rPr>
          <w:color w:val="auto"/>
          <w:szCs w:val="24"/>
          <w:lang w:val="uk-UA"/>
        </w:rPr>
        <w:t xml:space="preserve"> 2020, 2021 роки, розповсюджується тільки на територію міста Авдіївка, </w:t>
      </w:r>
      <w:r>
        <w:rPr>
          <w:b/>
          <w:color w:val="auto"/>
          <w:szCs w:val="24"/>
          <w:lang w:val="uk-UA"/>
        </w:rPr>
        <w:t>виникла невизначеність в оподаткуванні нерухомого майна, відмінного від земельної ділянки, розташованого на території селища Опитне</w:t>
      </w:r>
      <w:r>
        <w:rPr>
          <w:color w:val="auto"/>
          <w:szCs w:val="24"/>
          <w:lang w:val="uk-UA"/>
        </w:rPr>
        <w:t>.</w:t>
      </w:r>
    </w:p>
    <w:p w:rsidR="006B14C5" w:rsidRDefault="00781348">
      <w:pPr>
        <w:ind w:firstLine="708"/>
        <w:rPr>
          <w:color w:val="auto"/>
          <w:szCs w:val="24"/>
          <w:lang w:val="uk-UA"/>
        </w:rPr>
      </w:pPr>
      <w:r>
        <w:rPr>
          <w:color w:val="auto"/>
          <w:szCs w:val="24"/>
          <w:lang w:val="uk-UA"/>
        </w:rPr>
        <w:t>Вказана проблема не може бути розв’язана за допомогою ринкових механізмів та діючих регуляторних актів, тому що питання оподаткування вирішуються виключно Податковим кодексом України, статтею 12.3 якого визначено, шо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6B14C5" w:rsidRDefault="00781348">
      <w:pPr>
        <w:ind w:firstLine="708"/>
        <w:rPr>
          <w:color w:val="auto"/>
          <w:szCs w:val="24"/>
          <w:lang w:val="uk-UA"/>
        </w:rPr>
      </w:pPr>
      <w:r>
        <w:rPr>
          <w:color w:val="auto"/>
          <w:szCs w:val="24"/>
          <w:lang w:val="uk-UA"/>
        </w:rPr>
        <w:t xml:space="preserve">Вирішення цієї проблеми можливо тільки шляхом прийняття нормативно-правового акту – розпорядження </w:t>
      </w:r>
      <w:r>
        <w:rPr>
          <w:color w:val="00000A"/>
          <w:szCs w:val="24"/>
          <w:lang w:val="uk-UA"/>
        </w:rPr>
        <w:t xml:space="preserve">керівника Авдіївської міської військово-цивільної адміністрації Покровського району Донецької області “Про встановлення ставок та пільг із сплати податку на нерухоме майно, відмінне від земельної ділянки, на території </w:t>
      </w:r>
      <w:r>
        <w:rPr>
          <w:bCs/>
          <w:lang w:val="uk-UA" w:eastAsia="ru-RU"/>
        </w:rPr>
        <w:t>Авдіївської міської територіальної громади</w:t>
      </w:r>
      <w:r>
        <w:rPr>
          <w:color w:val="00000A"/>
          <w:szCs w:val="24"/>
          <w:lang w:val="uk-UA"/>
        </w:rPr>
        <w:t xml:space="preserve"> Покровського району Донецької області”.</w:t>
      </w:r>
      <w:r>
        <w:rPr>
          <w:color w:val="auto"/>
          <w:szCs w:val="24"/>
          <w:lang w:val="uk-UA"/>
        </w:rPr>
        <w:t xml:space="preserve"> Підставою для цього є пункт 6 частини 1 статті 4 Закону України «Про військово-цивільні адміністрації», яким визначено повноваження військово-цивільних адміністрацій щодо встановлення ставок місцевих податків і зборів відповідно до Податкового кодексу України, якщо відсутнє рішення відповідної ради з цих питань.</w:t>
      </w:r>
    </w:p>
    <w:p w:rsidR="00560D93" w:rsidRDefault="00781348" w:rsidP="00560D93">
      <w:pPr>
        <w:ind w:firstLine="708"/>
        <w:rPr>
          <w:color w:val="auto"/>
          <w:szCs w:val="24"/>
          <w:lang w:val="uk-UA"/>
        </w:rPr>
      </w:pPr>
      <w:r>
        <w:rPr>
          <w:color w:val="auto"/>
          <w:szCs w:val="24"/>
          <w:lang w:val="uk-UA"/>
        </w:rPr>
        <w:t>Важливість прийняття цього нормативно-правового акту полягає в тому, що він упорядкує оподаткування нерухомого майна, відмінного від земельної ділянки, на території Авдіївської територіальної громади.</w:t>
      </w:r>
    </w:p>
    <w:p w:rsidR="00560D93" w:rsidRPr="005E0A89" w:rsidRDefault="00560D93" w:rsidP="00560D93">
      <w:pPr>
        <w:ind w:firstLine="708"/>
        <w:rPr>
          <w:color w:val="auto"/>
          <w:szCs w:val="24"/>
          <w:lang w:val="uk-UA"/>
        </w:rPr>
      </w:pPr>
      <w:r w:rsidRPr="005E0A89">
        <w:rPr>
          <w:color w:val="auto"/>
          <w:szCs w:val="24"/>
          <w:lang w:val="uk-UA"/>
        </w:rPr>
        <w:lastRenderedPageBreak/>
        <w:t xml:space="preserve">Також </w:t>
      </w:r>
      <w:r w:rsidR="00DA2654" w:rsidRPr="005E0A89">
        <w:rPr>
          <w:color w:val="auto"/>
          <w:szCs w:val="24"/>
          <w:lang w:val="uk-UA"/>
        </w:rPr>
        <w:t xml:space="preserve">за результатами </w:t>
      </w:r>
      <w:r w:rsidRPr="005E0A89">
        <w:rPr>
          <w:color w:val="auto"/>
          <w:szCs w:val="24"/>
          <w:lang w:val="uk-UA"/>
        </w:rPr>
        <w:t>прийняття цього нормативно-правового</w:t>
      </w:r>
      <w:r w:rsidR="00E42A28" w:rsidRPr="005E0A89">
        <w:rPr>
          <w:color w:val="auto"/>
          <w:szCs w:val="24"/>
          <w:lang w:val="uk-UA"/>
        </w:rPr>
        <w:t xml:space="preserve"> акту</w:t>
      </w:r>
      <w:r w:rsidR="00DA2654" w:rsidRPr="005E0A89">
        <w:rPr>
          <w:color w:val="auto"/>
          <w:szCs w:val="24"/>
          <w:lang w:val="uk-UA"/>
        </w:rPr>
        <w:t xml:space="preserve"> будуть встановлені </w:t>
      </w:r>
      <w:r w:rsidR="005E0A89" w:rsidRPr="005E0A89">
        <w:rPr>
          <w:color w:val="auto"/>
          <w:szCs w:val="24"/>
          <w:lang w:val="uk-UA"/>
        </w:rPr>
        <w:t>соціально-</w:t>
      </w:r>
      <w:r w:rsidR="005E0A89" w:rsidRPr="00702405">
        <w:rPr>
          <w:color w:val="auto"/>
          <w:szCs w:val="24"/>
          <w:lang w:val="uk-UA"/>
        </w:rPr>
        <w:t>орієнтовані</w:t>
      </w:r>
      <w:r w:rsidR="005E0A89" w:rsidRPr="005E0A89">
        <w:rPr>
          <w:color w:val="auto"/>
          <w:szCs w:val="24"/>
          <w:lang w:val="uk-UA"/>
        </w:rPr>
        <w:t xml:space="preserve"> ставки податку на нерухоме майно, відмінне від земельної ділянки</w:t>
      </w:r>
      <w:r w:rsidR="005E0A89">
        <w:rPr>
          <w:color w:val="auto"/>
          <w:szCs w:val="24"/>
          <w:lang w:val="uk-UA"/>
        </w:rPr>
        <w:t>, з урахуванням того, що м. Авдіївка та с. Опитне знаходяться на лінії зіткнення.</w:t>
      </w:r>
    </w:p>
    <w:p w:rsidR="00560D93" w:rsidRPr="00560D93" w:rsidRDefault="00560D93" w:rsidP="00560D93">
      <w:pPr>
        <w:ind w:firstLine="708"/>
        <w:rPr>
          <w:color w:val="auto"/>
          <w:lang w:val="uk-UA"/>
        </w:rPr>
      </w:pPr>
    </w:p>
    <w:p w:rsidR="006B14C5" w:rsidRPr="00560D93" w:rsidRDefault="00781348" w:rsidP="00560D93">
      <w:pPr>
        <w:ind w:firstLine="708"/>
        <w:rPr>
          <w:color w:val="auto"/>
          <w:lang w:val="uk-UA"/>
        </w:rPr>
      </w:pPr>
      <w:r w:rsidRPr="00560D93">
        <w:rPr>
          <w:color w:val="auto"/>
          <w:lang w:val="uk-UA"/>
        </w:rPr>
        <w:t>Основні групи (підгрупи), на які проблема справляє вплив, наступні:</w:t>
      </w:r>
    </w:p>
    <w:tbl>
      <w:tblPr>
        <w:tblW w:w="9662" w:type="dxa"/>
        <w:tblInd w:w="-1" w:type="dxa"/>
        <w:tblLayout w:type="fixed"/>
        <w:tblCellMar>
          <w:top w:w="28" w:type="dxa"/>
          <w:left w:w="28" w:type="dxa"/>
          <w:bottom w:w="28" w:type="dxa"/>
          <w:right w:w="28" w:type="dxa"/>
        </w:tblCellMar>
        <w:tblLook w:val="0000" w:firstRow="0" w:lastRow="0" w:firstColumn="0" w:lastColumn="0" w:noHBand="0" w:noVBand="0"/>
      </w:tblPr>
      <w:tblGrid>
        <w:gridCol w:w="4376"/>
        <w:gridCol w:w="2827"/>
        <w:gridCol w:w="2459"/>
      </w:tblGrid>
      <w:tr w:rsidR="006B14C5">
        <w:tc>
          <w:tcPr>
            <w:tcW w:w="4376" w:type="dxa"/>
            <w:tcBorders>
              <w:top w:val="single" w:sz="2" w:space="0" w:color="000000"/>
              <w:left w:val="single" w:sz="2" w:space="0" w:color="000000"/>
              <w:bottom w:val="single" w:sz="2" w:space="0" w:color="000000"/>
            </w:tcBorders>
          </w:tcPr>
          <w:p w:rsidR="006B14C5" w:rsidRDefault="00781348">
            <w:pPr>
              <w:pStyle w:val="af0"/>
              <w:widowControl w:val="0"/>
              <w:jc w:val="center"/>
              <w:rPr>
                <w:rFonts w:ascii="Times New Roman" w:hAnsi="Times New Roman" w:cs="Times New Roman"/>
                <w:sz w:val="20"/>
                <w:szCs w:val="20"/>
              </w:rPr>
            </w:pPr>
            <w:r>
              <w:rPr>
                <w:rFonts w:ascii="Times New Roman" w:hAnsi="Times New Roman" w:cs="Times New Roman"/>
                <w:color w:val="auto"/>
                <w:sz w:val="20"/>
                <w:szCs w:val="20"/>
              </w:rPr>
              <w:t>Групи (підгрупи)</w:t>
            </w:r>
          </w:p>
        </w:tc>
        <w:tc>
          <w:tcPr>
            <w:tcW w:w="2827" w:type="dxa"/>
            <w:tcBorders>
              <w:top w:val="single" w:sz="2" w:space="0" w:color="000000"/>
              <w:left w:val="single" w:sz="2" w:space="0" w:color="000000"/>
              <w:bottom w:val="single" w:sz="2" w:space="0" w:color="000000"/>
            </w:tcBorders>
          </w:tcPr>
          <w:p w:rsidR="006B14C5" w:rsidRDefault="00781348">
            <w:pPr>
              <w:pStyle w:val="af0"/>
              <w:widowControl w:val="0"/>
              <w:jc w:val="center"/>
              <w:rPr>
                <w:rFonts w:ascii="Times New Roman" w:hAnsi="Times New Roman" w:cs="Times New Roman"/>
                <w:sz w:val="20"/>
                <w:szCs w:val="20"/>
              </w:rPr>
            </w:pPr>
            <w:r>
              <w:rPr>
                <w:rFonts w:ascii="Times New Roman" w:hAnsi="Times New Roman" w:cs="Times New Roman"/>
                <w:color w:val="auto"/>
                <w:sz w:val="20"/>
                <w:szCs w:val="20"/>
              </w:rPr>
              <w:t>Так</w:t>
            </w:r>
          </w:p>
        </w:tc>
        <w:tc>
          <w:tcPr>
            <w:tcW w:w="2459" w:type="dxa"/>
            <w:tcBorders>
              <w:top w:val="single" w:sz="2" w:space="0" w:color="000000"/>
              <w:left w:val="single" w:sz="2" w:space="0" w:color="000000"/>
              <w:bottom w:val="single" w:sz="2" w:space="0" w:color="000000"/>
              <w:right w:val="single" w:sz="2" w:space="0" w:color="000000"/>
            </w:tcBorders>
          </w:tcPr>
          <w:p w:rsidR="006B14C5" w:rsidRDefault="00781348">
            <w:pPr>
              <w:pStyle w:val="af0"/>
              <w:widowControl w:val="0"/>
              <w:jc w:val="center"/>
              <w:rPr>
                <w:rFonts w:ascii="Times New Roman" w:hAnsi="Times New Roman" w:cs="Times New Roman"/>
                <w:sz w:val="20"/>
                <w:szCs w:val="20"/>
              </w:rPr>
            </w:pPr>
            <w:r>
              <w:rPr>
                <w:rFonts w:ascii="Times New Roman" w:hAnsi="Times New Roman" w:cs="Times New Roman"/>
                <w:color w:val="auto"/>
                <w:sz w:val="20"/>
                <w:szCs w:val="20"/>
              </w:rPr>
              <w:t>Ні</w:t>
            </w:r>
          </w:p>
        </w:tc>
      </w:tr>
      <w:tr w:rsidR="006B14C5">
        <w:trPr>
          <w:trHeight w:val="268"/>
        </w:trPr>
        <w:tc>
          <w:tcPr>
            <w:tcW w:w="4376" w:type="dxa"/>
            <w:tcBorders>
              <w:left w:val="single" w:sz="2" w:space="0" w:color="000000"/>
              <w:bottom w:val="single" w:sz="2" w:space="0" w:color="000000"/>
            </w:tcBorders>
          </w:tcPr>
          <w:p w:rsidR="006B14C5" w:rsidRDefault="00781348">
            <w:pPr>
              <w:pStyle w:val="af0"/>
              <w:widowControl w:val="0"/>
              <w:ind w:left="283"/>
              <w:rPr>
                <w:rFonts w:ascii="Times New Roman" w:hAnsi="Times New Roman" w:cs="Times New Roman"/>
                <w:sz w:val="20"/>
                <w:szCs w:val="20"/>
              </w:rPr>
            </w:pPr>
            <w:r>
              <w:rPr>
                <w:rFonts w:ascii="Times New Roman" w:hAnsi="Times New Roman" w:cs="Times New Roman"/>
                <w:color w:val="auto"/>
                <w:sz w:val="20"/>
                <w:szCs w:val="20"/>
              </w:rPr>
              <w:t>Громадяни</w:t>
            </w:r>
          </w:p>
        </w:tc>
        <w:tc>
          <w:tcPr>
            <w:tcW w:w="2827" w:type="dxa"/>
            <w:tcBorders>
              <w:left w:val="single" w:sz="2" w:space="0" w:color="000000"/>
              <w:bottom w:val="single" w:sz="2" w:space="0" w:color="000000"/>
            </w:tcBorders>
          </w:tcPr>
          <w:p w:rsidR="006B14C5" w:rsidRDefault="00781348">
            <w:pPr>
              <w:pStyle w:val="af0"/>
              <w:widowControl w:val="0"/>
              <w:jc w:val="center"/>
              <w:rPr>
                <w:rFonts w:ascii="Times New Roman" w:hAnsi="Times New Roman" w:cs="Times New Roman"/>
                <w:sz w:val="20"/>
                <w:szCs w:val="20"/>
              </w:rPr>
            </w:pPr>
            <w:r>
              <w:rPr>
                <w:rFonts w:ascii="Times New Roman" w:hAnsi="Times New Roman" w:cs="Times New Roman"/>
                <w:color w:val="auto"/>
                <w:sz w:val="20"/>
                <w:szCs w:val="20"/>
              </w:rPr>
              <w:t>+</w:t>
            </w:r>
          </w:p>
        </w:tc>
        <w:tc>
          <w:tcPr>
            <w:tcW w:w="2459" w:type="dxa"/>
            <w:tcBorders>
              <w:left w:val="single" w:sz="2" w:space="0" w:color="000000"/>
              <w:bottom w:val="single" w:sz="2" w:space="0" w:color="000000"/>
              <w:right w:val="single" w:sz="2" w:space="0" w:color="000000"/>
            </w:tcBorders>
          </w:tcPr>
          <w:p w:rsidR="006B14C5" w:rsidRDefault="006B14C5">
            <w:pPr>
              <w:pStyle w:val="af0"/>
              <w:widowControl w:val="0"/>
              <w:snapToGrid w:val="0"/>
              <w:jc w:val="center"/>
              <w:rPr>
                <w:rFonts w:ascii="Times New Roman" w:hAnsi="Times New Roman" w:cs="Times New Roman"/>
                <w:color w:val="auto"/>
                <w:sz w:val="20"/>
                <w:szCs w:val="20"/>
              </w:rPr>
            </w:pPr>
          </w:p>
        </w:tc>
      </w:tr>
      <w:tr w:rsidR="006B14C5">
        <w:tc>
          <w:tcPr>
            <w:tcW w:w="4376" w:type="dxa"/>
            <w:tcBorders>
              <w:left w:val="single" w:sz="2" w:space="0" w:color="000000"/>
              <w:bottom w:val="single" w:sz="2" w:space="0" w:color="000000"/>
            </w:tcBorders>
          </w:tcPr>
          <w:p w:rsidR="006B14C5" w:rsidRDefault="00781348">
            <w:pPr>
              <w:pStyle w:val="af0"/>
              <w:widowControl w:val="0"/>
              <w:ind w:left="283"/>
              <w:rPr>
                <w:rFonts w:ascii="Times New Roman" w:hAnsi="Times New Roman" w:cs="Times New Roman"/>
                <w:sz w:val="20"/>
                <w:szCs w:val="20"/>
              </w:rPr>
            </w:pPr>
            <w:r>
              <w:rPr>
                <w:rFonts w:ascii="Times New Roman" w:hAnsi="Times New Roman" w:cs="Times New Roman"/>
                <w:color w:val="auto"/>
                <w:sz w:val="20"/>
                <w:szCs w:val="20"/>
              </w:rPr>
              <w:t>Держава</w:t>
            </w:r>
          </w:p>
        </w:tc>
        <w:tc>
          <w:tcPr>
            <w:tcW w:w="2827" w:type="dxa"/>
            <w:tcBorders>
              <w:left w:val="single" w:sz="2" w:space="0" w:color="000000"/>
              <w:bottom w:val="single" w:sz="2" w:space="0" w:color="000000"/>
            </w:tcBorders>
          </w:tcPr>
          <w:p w:rsidR="006B14C5" w:rsidRDefault="00781348">
            <w:pPr>
              <w:pStyle w:val="af0"/>
              <w:widowControl w:val="0"/>
              <w:jc w:val="center"/>
              <w:rPr>
                <w:rFonts w:ascii="Times New Roman" w:hAnsi="Times New Roman" w:cs="Times New Roman"/>
                <w:sz w:val="20"/>
                <w:szCs w:val="20"/>
              </w:rPr>
            </w:pPr>
            <w:r>
              <w:rPr>
                <w:rFonts w:ascii="Times New Roman" w:hAnsi="Times New Roman" w:cs="Times New Roman"/>
                <w:color w:val="auto"/>
                <w:sz w:val="20"/>
                <w:szCs w:val="20"/>
              </w:rPr>
              <w:t>+</w:t>
            </w:r>
          </w:p>
        </w:tc>
        <w:tc>
          <w:tcPr>
            <w:tcW w:w="2459" w:type="dxa"/>
            <w:tcBorders>
              <w:left w:val="single" w:sz="2" w:space="0" w:color="000000"/>
              <w:bottom w:val="single" w:sz="2" w:space="0" w:color="000000"/>
              <w:right w:val="single" w:sz="2" w:space="0" w:color="000000"/>
            </w:tcBorders>
          </w:tcPr>
          <w:p w:rsidR="006B14C5" w:rsidRDefault="006B14C5">
            <w:pPr>
              <w:pStyle w:val="af0"/>
              <w:widowControl w:val="0"/>
              <w:snapToGrid w:val="0"/>
              <w:jc w:val="center"/>
              <w:rPr>
                <w:rFonts w:ascii="Times New Roman" w:hAnsi="Times New Roman" w:cs="Times New Roman"/>
                <w:color w:val="auto"/>
                <w:sz w:val="20"/>
                <w:szCs w:val="20"/>
              </w:rPr>
            </w:pPr>
          </w:p>
        </w:tc>
      </w:tr>
      <w:tr w:rsidR="006B14C5">
        <w:tc>
          <w:tcPr>
            <w:tcW w:w="4376" w:type="dxa"/>
            <w:tcBorders>
              <w:left w:val="single" w:sz="2" w:space="0" w:color="000000"/>
              <w:bottom w:val="single" w:sz="2" w:space="0" w:color="000000"/>
            </w:tcBorders>
          </w:tcPr>
          <w:p w:rsidR="006B14C5" w:rsidRDefault="00781348">
            <w:pPr>
              <w:pStyle w:val="af0"/>
              <w:widowControl w:val="0"/>
              <w:ind w:left="283"/>
              <w:rPr>
                <w:rFonts w:ascii="Times New Roman" w:hAnsi="Times New Roman" w:cs="Times New Roman"/>
                <w:sz w:val="20"/>
                <w:szCs w:val="20"/>
              </w:rPr>
            </w:pPr>
            <w:r>
              <w:rPr>
                <w:rFonts w:ascii="Times New Roman" w:hAnsi="Times New Roman" w:cs="Times New Roman"/>
                <w:color w:val="auto"/>
                <w:sz w:val="20"/>
                <w:szCs w:val="20"/>
              </w:rPr>
              <w:t>Суб’єкти господарювання,</w:t>
            </w:r>
          </w:p>
        </w:tc>
        <w:tc>
          <w:tcPr>
            <w:tcW w:w="2827" w:type="dxa"/>
            <w:tcBorders>
              <w:left w:val="single" w:sz="2" w:space="0" w:color="000000"/>
              <w:bottom w:val="single" w:sz="2" w:space="0" w:color="000000"/>
            </w:tcBorders>
          </w:tcPr>
          <w:p w:rsidR="006B14C5" w:rsidRDefault="00781348">
            <w:pPr>
              <w:pStyle w:val="af0"/>
              <w:widowControl w:val="0"/>
              <w:jc w:val="center"/>
              <w:rPr>
                <w:rFonts w:ascii="Times New Roman" w:hAnsi="Times New Roman" w:cs="Times New Roman"/>
                <w:sz w:val="20"/>
                <w:szCs w:val="20"/>
              </w:rPr>
            </w:pPr>
            <w:r>
              <w:rPr>
                <w:rFonts w:ascii="Times New Roman" w:hAnsi="Times New Roman" w:cs="Times New Roman"/>
                <w:color w:val="auto"/>
                <w:sz w:val="20"/>
                <w:szCs w:val="20"/>
              </w:rPr>
              <w:t>+</w:t>
            </w:r>
          </w:p>
        </w:tc>
        <w:tc>
          <w:tcPr>
            <w:tcW w:w="2459" w:type="dxa"/>
            <w:tcBorders>
              <w:left w:val="single" w:sz="2" w:space="0" w:color="000000"/>
              <w:bottom w:val="single" w:sz="2" w:space="0" w:color="000000"/>
              <w:right w:val="single" w:sz="2" w:space="0" w:color="000000"/>
            </w:tcBorders>
          </w:tcPr>
          <w:p w:rsidR="006B14C5" w:rsidRDefault="006B14C5">
            <w:pPr>
              <w:pStyle w:val="af0"/>
              <w:widowControl w:val="0"/>
              <w:snapToGrid w:val="0"/>
              <w:jc w:val="center"/>
              <w:rPr>
                <w:rFonts w:ascii="Times New Roman" w:hAnsi="Times New Roman" w:cs="Times New Roman"/>
                <w:color w:val="auto"/>
                <w:sz w:val="20"/>
                <w:szCs w:val="20"/>
              </w:rPr>
            </w:pPr>
          </w:p>
        </w:tc>
      </w:tr>
      <w:tr w:rsidR="006B14C5">
        <w:tc>
          <w:tcPr>
            <w:tcW w:w="4376" w:type="dxa"/>
            <w:tcBorders>
              <w:left w:val="single" w:sz="2" w:space="0" w:color="000000"/>
              <w:bottom w:val="single" w:sz="2" w:space="0" w:color="000000"/>
            </w:tcBorders>
          </w:tcPr>
          <w:p w:rsidR="006B14C5" w:rsidRDefault="00781348">
            <w:pPr>
              <w:pStyle w:val="af0"/>
              <w:widowControl w:val="0"/>
              <w:ind w:left="256"/>
              <w:rPr>
                <w:rFonts w:ascii="Times New Roman" w:hAnsi="Times New Roman" w:cs="Times New Roman"/>
                <w:sz w:val="20"/>
                <w:szCs w:val="20"/>
              </w:rPr>
            </w:pPr>
            <w:r>
              <w:rPr>
                <w:rFonts w:ascii="Times New Roman" w:hAnsi="Times New Roman" w:cs="Times New Roman"/>
                <w:color w:val="auto"/>
                <w:sz w:val="20"/>
                <w:szCs w:val="20"/>
              </w:rPr>
              <w:t>у тому числі суб’єкти малого підприємництва</w:t>
            </w:r>
          </w:p>
        </w:tc>
        <w:tc>
          <w:tcPr>
            <w:tcW w:w="2827" w:type="dxa"/>
            <w:tcBorders>
              <w:left w:val="single" w:sz="2" w:space="0" w:color="000000"/>
              <w:bottom w:val="single" w:sz="2" w:space="0" w:color="000000"/>
            </w:tcBorders>
          </w:tcPr>
          <w:p w:rsidR="006B14C5" w:rsidRDefault="00781348">
            <w:pPr>
              <w:pStyle w:val="af0"/>
              <w:widowControl w:val="0"/>
              <w:jc w:val="center"/>
              <w:rPr>
                <w:rFonts w:ascii="Times New Roman" w:hAnsi="Times New Roman" w:cs="Times New Roman"/>
                <w:sz w:val="20"/>
                <w:szCs w:val="20"/>
              </w:rPr>
            </w:pPr>
            <w:r>
              <w:rPr>
                <w:rFonts w:ascii="Times New Roman" w:hAnsi="Times New Roman" w:cs="Times New Roman"/>
                <w:color w:val="auto"/>
                <w:sz w:val="20"/>
                <w:szCs w:val="20"/>
              </w:rPr>
              <w:t>+</w:t>
            </w:r>
          </w:p>
        </w:tc>
        <w:tc>
          <w:tcPr>
            <w:tcW w:w="2459" w:type="dxa"/>
            <w:tcBorders>
              <w:left w:val="single" w:sz="2" w:space="0" w:color="000000"/>
              <w:bottom w:val="single" w:sz="2" w:space="0" w:color="000000"/>
              <w:right w:val="single" w:sz="2" w:space="0" w:color="000000"/>
            </w:tcBorders>
          </w:tcPr>
          <w:p w:rsidR="006B14C5" w:rsidRDefault="006B14C5">
            <w:pPr>
              <w:pStyle w:val="af0"/>
              <w:widowControl w:val="0"/>
              <w:snapToGrid w:val="0"/>
              <w:jc w:val="center"/>
              <w:rPr>
                <w:rFonts w:ascii="Times New Roman" w:hAnsi="Times New Roman" w:cs="Times New Roman"/>
                <w:color w:val="auto"/>
                <w:sz w:val="20"/>
                <w:szCs w:val="20"/>
              </w:rPr>
            </w:pPr>
          </w:p>
        </w:tc>
      </w:tr>
    </w:tbl>
    <w:p w:rsidR="006B14C5" w:rsidRDefault="006B14C5">
      <w:pPr>
        <w:ind w:firstLine="708"/>
        <w:rPr>
          <w:b/>
          <w:bCs/>
          <w:color w:val="auto"/>
          <w:szCs w:val="24"/>
          <w:lang w:val="uk-UA"/>
        </w:rPr>
      </w:pPr>
    </w:p>
    <w:p w:rsidR="006B14C5" w:rsidRDefault="00781348">
      <w:pPr>
        <w:ind w:firstLine="708"/>
        <w:jc w:val="center"/>
        <w:rPr>
          <w:b/>
          <w:bCs/>
          <w:color w:val="auto"/>
          <w:szCs w:val="24"/>
          <w:lang w:val="uk-UA"/>
        </w:rPr>
      </w:pPr>
      <w:r>
        <w:rPr>
          <w:b/>
          <w:bCs/>
          <w:color w:val="auto"/>
          <w:szCs w:val="24"/>
          <w:lang w:val="uk-UA"/>
        </w:rPr>
        <w:t xml:space="preserve">II. </w:t>
      </w:r>
      <w:r>
        <w:rPr>
          <w:b/>
          <w:bCs/>
          <w:caps/>
          <w:color w:val="auto"/>
          <w:szCs w:val="24"/>
          <w:lang w:val="uk-UA"/>
        </w:rPr>
        <w:t>Цілі державного регулювання</w:t>
      </w:r>
    </w:p>
    <w:p w:rsidR="006B14C5" w:rsidRDefault="00781348">
      <w:pPr>
        <w:ind w:firstLine="708"/>
        <w:rPr>
          <w:color w:val="auto"/>
          <w:szCs w:val="24"/>
          <w:lang w:val="uk-UA"/>
        </w:rPr>
      </w:pPr>
      <w:r>
        <w:rPr>
          <w:color w:val="auto"/>
          <w:szCs w:val="24"/>
          <w:lang w:val="uk-UA"/>
        </w:rPr>
        <w:t>Основними цілями державного регулювання є:</w:t>
      </w:r>
    </w:p>
    <w:p w:rsidR="006B14C5" w:rsidRDefault="00781348">
      <w:pPr>
        <w:numPr>
          <w:ilvl w:val="0"/>
          <w:numId w:val="3"/>
        </w:numPr>
        <w:rPr>
          <w:color w:val="auto"/>
          <w:lang w:val="uk-UA"/>
        </w:rPr>
      </w:pPr>
      <w:r>
        <w:rPr>
          <w:color w:val="auto"/>
          <w:lang w:val="uk-UA"/>
        </w:rPr>
        <w:t>здійснення планування та прогнозування надходжень від податку на нерухоме майно, відмінне від земельної ділянки, при формуванні бюджету;</w:t>
      </w:r>
    </w:p>
    <w:p w:rsidR="006B14C5" w:rsidRDefault="00781348">
      <w:pPr>
        <w:numPr>
          <w:ilvl w:val="0"/>
          <w:numId w:val="3"/>
        </w:numPr>
        <w:rPr>
          <w:color w:val="auto"/>
          <w:lang w:val="uk-UA"/>
        </w:rPr>
      </w:pPr>
      <w:r>
        <w:rPr>
          <w:color w:val="auto"/>
          <w:lang w:val="uk-UA"/>
        </w:rPr>
        <w:t>встановлення доцільних і обґрунтованих розмірів ставок податку на нерухоме майно, відмінне від земельної ділянки, з урахуванням рівня платоспроможності громадян та суб’єктів господарювання та відповідно до потреб місцевого бюджету;</w:t>
      </w:r>
    </w:p>
    <w:p w:rsidR="006B14C5" w:rsidRDefault="00781348">
      <w:pPr>
        <w:numPr>
          <w:ilvl w:val="0"/>
          <w:numId w:val="3"/>
        </w:numPr>
        <w:rPr>
          <w:color w:val="auto"/>
          <w:lang w:val="uk-UA"/>
        </w:rPr>
      </w:pPr>
      <w:r>
        <w:rPr>
          <w:color w:val="auto"/>
          <w:lang w:val="uk-UA"/>
        </w:rPr>
        <w:t>встановлення пільг щодо сплати податку на нерухоме майно, відмінне від земельної ділянки;</w:t>
      </w:r>
    </w:p>
    <w:p w:rsidR="006B14C5" w:rsidRDefault="00781348">
      <w:pPr>
        <w:numPr>
          <w:ilvl w:val="0"/>
          <w:numId w:val="3"/>
        </w:numPr>
        <w:rPr>
          <w:color w:val="auto"/>
          <w:lang w:val="uk-UA"/>
        </w:rPr>
      </w:pPr>
      <w:r>
        <w:rPr>
          <w:color w:val="auto"/>
          <w:lang w:val="uk-UA"/>
        </w:rPr>
        <w:t>забезпечення відкритості та прозорості дій військово-цивільної адміністрації.</w:t>
      </w:r>
    </w:p>
    <w:p w:rsidR="006B14C5" w:rsidRDefault="006B14C5">
      <w:pPr>
        <w:ind w:left="720"/>
        <w:rPr>
          <w:color w:val="auto"/>
          <w:szCs w:val="24"/>
          <w:lang w:val="uk-UA"/>
        </w:rPr>
      </w:pPr>
    </w:p>
    <w:p w:rsidR="006B14C5" w:rsidRDefault="00781348">
      <w:pPr>
        <w:pStyle w:val="aa"/>
        <w:spacing w:after="0" w:line="240" w:lineRule="auto"/>
        <w:ind w:firstLine="708"/>
        <w:jc w:val="center"/>
        <w:rPr>
          <w:rFonts w:ascii="Times New Roman" w:eastAsia="Times New Roman" w:hAnsi="Times New Roman" w:cs="Times New Roman"/>
          <w:b/>
          <w:bCs/>
          <w:caps/>
          <w:color w:val="auto"/>
          <w:sz w:val="24"/>
          <w:lang w:bidi="ar-SA"/>
        </w:rPr>
      </w:pPr>
      <w:r>
        <w:rPr>
          <w:rFonts w:ascii="Times New Roman" w:eastAsia="Times New Roman" w:hAnsi="Times New Roman" w:cs="Times New Roman"/>
          <w:b/>
          <w:bCs/>
          <w:color w:val="auto"/>
          <w:sz w:val="24"/>
          <w:lang w:bidi="ar-SA"/>
        </w:rPr>
        <w:t xml:space="preserve">III. </w:t>
      </w:r>
      <w:r>
        <w:rPr>
          <w:rFonts w:ascii="Times New Roman" w:eastAsia="Times New Roman" w:hAnsi="Times New Roman" w:cs="Times New Roman"/>
          <w:b/>
          <w:bCs/>
          <w:caps/>
          <w:color w:val="auto"/>
          <w:sz w:val="24"/>
          <w:lang w:bidi="ar-SA"/>
        </w:rPr>
        <w:t>Визначення та оцінка альтернативних способів досягнення цілей</w:t>
      </w:r>
    </w:p>
    <w:p w:rsidR="006B14C5" w:rsidRDefault="006B14C5">
      <w:pPr>
        <w:pStyle w:val="aa"/>
        <w:spacing w:after="0" w:line="240" w:lineRule="auto"/>
        <w:ind w:firstLine="708"/>
        <w:jc w:val="both"/>
        <w:rPr>
          <w:rFonts w:ascii="Times New Roman" w:hAnsi="Times New Roman" w:cs="Times New Roman"/>
          <w:color w:val="auto"/>
          <w:sz w:val="24"/>
        </w:rPr>
      </w:pPr>
    </w:p>
    <w:p w:rsidR="006B14C5" w:rsidRDefault="00781348">
      <w:pPr>
        <w:pStyle w:val="aa"/>
        <w:spacing w:after="0" w:line="240" w:lineRule="auto"/>
        <w:ind w:firstLine="708"/>
        <w:jc w:val="both"/>
        <w:rPr>
          <w:rFonts w:ascii="Times New Roman" w:hAnsi="Times New Roman" w:cs="Times New Roman"/>
          <w:color w:val="auto"/>
          <w:sz w:val="24"/>
        </w:rPr>
      </w:pPr>
      <w:r>
        <w:rPr>
          <w:rFonts w:ascii="Times New Roman" w:hAnsi="Times New Roman" w:cs="Times New Roman"/>
          <w:color w:val="auto"/>
          <w:sz w:val="24"/>
        </w:rPr>
        <w:t>Перелік усіх можливих альтернативних способів досягнення зазначених цілей наступний:</w:t>
      </w:r>
    </w:p>
    <w:p w:rsidR="006B14C5" w:rsidRDefault="00781348">
      <w:pPr>
        <w:numPr>
          <w:ilvl w:val="0"/>
          <w:numId w:val="1"/>
        </w:numPr>
        <w:rPr>
          <w:color w:val="auto"/>
          <w:szCs w:val="24"/>
          <w:lang w:val="uk-UA"/>
        </w:rPr>
      </w:pPr>
      <w:r>
        <w:rPr>
          <w:color w:val="auto"/>
          <w:szCs w:val="24"/>
          <w:lang w:val="uk-UA"/>
        </w:rPr>
        <w:t>альтернатива 1 – прийняття запропонованого регуляторного акту;</w:t>
      </w:r>
    </w:p>
    <w:p w:rsidR="006B14C5" w:rsidRDefault="00781348">
      <w:pPr>
        <w:numPr>
          <w:ilvl w:val="0"/>
          <w:numId w:val="1"/>
        </w:numPr>
        <w:rPr>
          <w:color w:val="auto"/>
          <w:szCs w:val="24"/>
          <w:lang w:val="uk-UA"/>
        </w:rPr>
      </w:pPr>
      <w:r>
        <w:rPr>
          <w:color w:val="auto"/>
          <w:szCs w:val="24"/>
          <w:lang w:val="uk-UA"/>
        </w:rPr>
        <w:t>альтернатива 2 – залишення існуючої ситуації без змін.</w:t>
      </w:r>
    </w:p>
    <w:p w:rsidR="006B14C5" w:rsidRDefault="006B14C5">
      <w:pPr>
        <w:rPr>
          <w:color w:val="auto"/>
          <w:szCs w:val="24"/>
          <w:lang w:val="uk-UA"/>
        </w:rPr>
      </w:pPr>
    </w:p>
    <w:p w:rsidR="006B14C5" w:rsidRDefault="00781348">
      <w:pPr>
        <w:jc w:val="center"/>
        <w:rPr>
          <w:bCs/>
          <w:color w:val="auto"/>
          <w:szCs w:val="24"/>
          <w:lang w:val="uk-UA"/>
        </w:rPr>
      </w:pPr>
      <w:r>
        <w:rPr>
          <w:bCs/>
          <w:color w:val="auto"/>
          <w:szCs w:val="24"/>
          <w:lang w:val="uk-UA"/>
        </w:rPr>
        <w:t>3.1. Оцінка впливу на сферу інтересів держави цих альтернатив:</w:t>
      </w:r>
    </w:p>
    <w:p w:rsidR="006B14C5" w:rsidRDefault="006B14C5">
      <w:pPr>
        <w:rPr>
          <w:bCs/>
          <w:color w:val="auto"/>
          <w:szCs w:val="24"/>
          <w:lang w:val="uk-UA"/>
        </w:rPr>
      </w:pPr>
    </w:p>
    <w:tbl>
      <w:tblPr>
        <w:tblW w:w="9670" w:type="dxa"/>
        <w:tblInd w:w="-4" w:type="dxa"/>
        <w:tblLayout w:type="fixed"/>
        <w:tblCellMar>
          <w:top w:w="55" w:type="dxa"/>
          <w:left w:w="49" w:type="dxa"/>
          <w:bottom w:w="55" w:type="dxa"/>
          <w:right w:w="55" w:type="dxa"/>
        </w:tblCellMar>
        <w:tblLook w:val="0000" w:firstRow="0" w:lastRow="0" w:firstColumn="0" w:lastColumn="0" w:noHBand="0" w:noVBand="0"/>
      </w:tblPr>
      <w:tblGrid>
        <w:gridCol w:w="1277"/>
        <w:gridCol w:w="3544"/>
        <w:gridCol w:w="4849"/>
      </w:tblGrid>
      <w:tr w:rsidR="006B14C5">
        <w:tc>
          <w:tcPr>
            <w:tcW w:w="1277"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Pr>
                <w:rFonts w:ascii="Times New Roman" w:hAnsi="Times New Roman" w:cs="Times New Roman"/>
                <w:color w:val="auto"/>
                <w:sz w:val="20"/>
                <w:szCs w:val="20"/>
              </w:rPr>
              <w:t>альтернативи</w:t>
            </w:r>
          </w:p>
        </w:tc>
        <w:tc>
          <w:tcPr>
            <w:tcW w:w="3544"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Вигоди</w:t>
            </w:r>
          </w:p>
        </w:tc>
        <w:tc>
          <w:tcPr>
            <w:tcW w:w="4849" w:type="dxa"/>
            <w:tcBorders>
              <w:top w:val="single" w:sz="2" w:space="0" w:color="000001"/>
              <w:left w:val="single" w:sz="2" w:space="0" w:color="000001"/>
              <w:bottom w:val="single" w:sz="2" w:space="0" w:color="000001"/>
              <w:right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Витрати</w:t>
            </w:r>
          </w:p>
        </w:tc>
      </w:tr>
      <w:tr w:rsidR="006B14C5">
        <w:tc>
          <w:tcPr>
            <w:tcW w:w="1277"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3544" w:type="dxa"/>
            <w:tcBorders>
              <w:top w:val="single" w:sz="2" w:space="0" w:color="000001"/>
              <w:left w:val="single" w:sz="2" w:space="0" w:color="000001"/>
              <w:bottom w:val="single" w:sz="2" w:space="0" w:color="000001"/>
            </w:tcBorders>
            <w:shd w:val="clear" w:color="auto" w:fill="auto"/>
          </w:tcPr>
          <w:p w:rsidR="006B14C5" w:rsidRDefault="00781348">
            <w:pPr>
              <w:rPr>
                <w:color w:val="auto"/>
                <w:sz w:val="20"/>
                <w:lang w:val="uk-UA"/>
              </w:rPr>
            </w:pPr>
            <w:r>
              <w:rPr>
                <w:color w:val="auto"/>
                <w:sz w:val="20"/>
                <w:lang w:val="uk-UA"/>
              </w:rPr>
              <w:t>1. Забезпечення виконання вимог чинного законодавства.</w:t>
            </w:r>
          </w:p>
          <w:p w:rsidR="006B14C5" w:rsidRPr="00327263" w:rsidRDefault="00781348">
            <w:pPr>
              <w:rPr>
                <w:color w:val="auto"/>
                <w:sz w:val="20"/>
                <w:lang w:val="uk-UA"/>
              </w:rPr>
            </w:pPr>
            <w:r w:rsidRPr="00327263">
              <w:rPr>
                <w:color w:val="auto"/>
                <w:sz w:val="20"/>
                <w:lang w:val="uk-UA"/>
              </w:rPr>
              <w:t>2. Врахування інтересів територіальної громади.</w:t>
            </w:r>
          </w:p>
        </w:tc>
        <w:tc>
          <w:tcPr>
            <w:tcW w:w="4849" w:type="dxa"/>
            <w:tcBorders>
              <w:top w:val="single" w:sz="2" w:space="0" w:color="000001"/>
              <w:left w:val="single" w:sz="2" w:space="0" w:color="000001"/>
              <w:bottom w:val="single" w:sz="2" w:space="0" w:color="000001"/>
              <w:right w:val="single" w:sz="2" w:space="0" w:color="000001"/>
            </w:tcBorders>
            <w:shd w:val="clear" w:color="auto" w:fill="auto"/>
          </w:tcPr>
          <w:p w:rsidR="006B14C5" w:rsidRDefault="00781348">
            <w:pPr>
              <w:pStyle w:val="af0"/>
              <w:widowControl w:val="0"/>
              <w:snapToGrid w:val="0"/>
              <w:jc w:val="center"/>
              <w:rPr>
                <w:rFonts w:ascii="Times New Roman" w:hAnsi="Times New Roman" w:cs="Times New Roman"/>
                <w:color w:val="auto"/>
                <w:sz w:val="20"/>
                <w:szCs w:val="20"/>
              </w:rPr>
            </w:pPr>
            <w:r>
              <w:rPr>
                <w:rFonts w:ascii="Times New Roman" w:hAnsi="Times New Roman" w:cs="Times New Roman"/>
                <w:color w:val="auto"/>
                <w:sz w:val="20"/>
                <w:szCs w:val="20"/>
              </w:rPr>
              <w:t>Відсутні</w:t>
            </w:r>
          </w:p>
        </w:tc>
      </w:tr>
      <w:tr w:rsidR="006B14C5">
        <w:tc>
          <w:tcPr>
            <w:tcW w:w="1277"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3544" w:type="dxa"/>
            <w:tcBorders>
              <w:top w:val="single" w:sz="2" w:space="0" w:color="000001"/>
              <w:left w:val="single" w:sz="2" w:space="0" w:color="000001"/>
              <w:bottom w:val="single" w:sz="2" w:space="0" w:color="000001"/>
            </w:tcBorders>
            <w:shd w:val="clear" w:color="auto" w:fill="auto"/>
          </w:tcPr>
          <w:p w:rsidR="006B14C5" w:rsidRDefault="00781348" w:rsidP="004E1781">
            <w:pPr>
              <w:snapToGrid w:val="0"/>
              <w:jc w:val="left"/>
              <w:rPr>
                <w:color w:val="auto"/>
                <w:sz w:val="20"/>
                <w:lang w:val="uk-UA"/>
              </w:rPr>
            </w:pPr>
            <w:r>
              <w:rPr>
                <w:color w:val="auto"/>
                <w:sz w:val="20"/>
                <w:lang w:val="uk-UA"/>
              </w:rPr>
              <w:t>Відсутні</w:t>
            </w:r>
          </w:p>
        </w:tc>
        <w:tc>
          <w:tcPr>
            <w:tcW w:w="4849" w:type="dxa"/>
            <w:tcBorders>
              <w:top w:val="single" w:sz="2" w:space="0" w:color="000001"/>
              <w:left w:val="single" w:sz="2" w:space="0" w:color="000001"/>
              <w:bottom w:val="single" w:sz="2" w:space="0" w:color="000001"/>
              <w:right w:val="single" w:sz="2" w:space="0" w:color="000001"/>
            </w:tcBorders>
            <w:shd w:val="clear" w:color="auto" w:fill="auto"/>
          </w:tcPr>
          <w:p w:rsidR="006B14C5" w:rsidRDefault="00781348">
            <w:pPr>
              <w:pStyle w:val="af0"/>
              <w:widowControl w:val="0"/>
              <w:snapToGrid w:val="0"/>
              <w:jc w:val="both"/>
              <w:rPr>
                <w:rFonts w:ascii="Times New Roman" w:hAnsi="Times New Roman" w:cs="Times New Roman"/>
                <w:color w:val="auto"/>
                <w:sz w:val="20"/>
                <w:szCs w:val="20"/>
              </w:rPr>
            </w:pPr>
            <w:r>
              <w:rPr>
                <w:rFonts w:ascii="Times New Roman" w:hAnsi="Times New Roman" w:cs="Times New Roman"/>
                <w:color w:val="auto"/>
                <w:sz w:val="20"/>
                <w:szCs w:val="20"/>
              </w:rPr>
              <w:t>У такому випадку, відповідно до пункту 12.3.5 статті 12 Податкового кодексу України, податки будуть справлятися виходячи з норм Податкового Кодексу із застосуванням ставок, які діяли до 31 грудня року, що передує бюджетному періоду.</w:t>
            </w:r>
          </w:p>
          <w:p w:rsidR="006B14C5" w:rsidRDefault="00781348">
            <w:pPr>
              <w:pStyle w:val="af0"/>
              <w:widowControl w:val="0"/>
              <w:snapToGrid w:val="0"/>
              <w:jc w:val="both"/>
              <w:rPr>
                <w:rFonts w:ascii="Times New Roman" w:hAnsi="Times New Roman" w:cs="Times New Roman"/>
                <w:color w:val="auto"/>
                <w:sz w:val="20"/>
                <w:szCs w:val="20"/>
              </w:rPr>
            </w:pPr>
            <w:r>
              <w:rPr>
                <w:rFonts w:ascii="Times New Roman" w:hAnsi="Times New Roman" w:cs="Times New Roman"/>
                <w:b/>
                <w:color w:val="auto"/>
                <w:sz w:val="20"/>
                <w:szCs w:val="20"/>
              </w:rPr>
              <w:t>Проте, ставки податку для селища Опитне залишаться невстановленими</w:t>
            </w:r>
            <w:r>
              <w:rPr>
                <w:rFonts w:ascii="Times New Roman" w:hAnsi="Times New Roman" w:cs="Times New Roman"/>
                <w:b/>
                <w:color w:val="auto"/>
                <w:sz w:val="20"/>
                <w:szCs w:val="20"/>
                <w:lang w:val="ru-RU"/>
              </w:rPr>
              <w:t xml:space="preserve"> </w:t>
            </w:r>
            <w:r>
              <w:rPr>
                <w:rFonts w:ascii="Times New Roman" w:hAnsi="Times New Roman" w:cs="Times New Roman"/>
                <w:b/>
                <w:color w:val="auto"/>
                <w:sz w:val="20"/>
                <w:szCs w:val="20"/>
              </w:rPr>
              <w:t>Авдіївською міською військово-цивільною адміністрацією, що буде суперечити вимогам законодавства</w:t>
            </w:r>
            <w:r>
              <w:rPr>
                <w:rFonts w:ascii="Times New Roman" w:hAnsi="Times New Roman" w:cs="Times New Roman"/>
                <w:color w:val="auto"/>
                <w:sz w:val="20"/>
                <w:szCs w:val="20"/>
              </w:rPr>
              <w:t>.</w:t>
            </w:r>
          </w:p>
        </w:tc>
      </w:tr>
    </w:tbl>
    <w:p w:rsidR="006B14C5" w:rsidRDefault="006B14C5">
      <w:pPr>
        <w:ind w:firstLine="708"/>
        <w:rPr>
          <w:color w:val="auto"/>
          <w:szCs w:val="24"/>
          <w:lang w:val="uk-UA"/>
        </w:rPr>
      </w:pPr>
    </w:p>
    <w:p w:rsidR="006B14C5" w:rsidRDefault="00781348">
      <w:pPr>
        <w:ind w:firstLine="708"/>
        <w:rPr>
          <w:color w:val="auto"/>
          <w:szCs w:val="24"/>
          <w:lang w:val="uk-UA"/>
        </w:rPr>
      </w:pPr>
      <w:r>
        <w:rPr>
          <w:color w:val="auto"/>
          <w:szCs w:val="24"/>
          <w:lang w:val="uk-UA"/>
        </w:rPr>
        <w:t>Запропонований регуляторний акт не передбачає здійснення додаткових бюджетних витрат на адміністрування регулювання.</w:t>
      </w:r>
    </w:p>
    <w:p w:rsidR="006B14C5" w:rsidRDefault="006B14C5">
      <w:pPr>
        <w:rPr>
          <w:color w:val="auto"/>
          <w:szCs w:val="24"/>
          <w:lang w:val="uk-UA"/>
        </w:rPr>
      </w:pPr>
    </w:p>
    <w:p w:rsidR="006B14C5" w:rsidRDefault="00781348">
      <w:pPr>
        <w:jc w:val="center"/>
        <w:rPr>
          <w:bCs/>
          <w:color w:val="auto"/>
          <w:szCs w:val="24"/>
          <w:lang w:val="uk-UA"/>
        </w:rPr>
      </w:pPr>
      <w:r>
        <w:rPr>
          <w:bCs/>
          <w:color w:val="auto"/>
          <w:szCs w:val="24"/>
          <w:lang w:val="uk-UA"/>
        </w:rPr>
        <w:lastRenderedPageBreak/>
        <w:t>3.2. Оцінка впливу на сферу інтересів громадян:</w:t>
      </w:r>
    </w:p>
    <w:p w:rsidR="006B14C5" w:rsidRDefault="006B14C5">
      <w:pPr>
        <w:rPr>
          <w:color w:val="auto"/>
          <w:szCs w:val="24"/>
          <w:lang w:val="uk-UA"/>
        </w:rPr>
      </w:pPr>
    </w:p>
    <w:tbl>
      <w:tblPr>
        <w:tblW w:w="9670" w:type="dxa"/>
        <w:tblInd w:w="-4" w:type="dxa"/>
        <w:tblLayout w:type="fixed"/>
        <w:tblCellMar>
          <w:top w:w="55" w:type="dxa"/>
          <w:left w:w="49" w:type="dxa"/>
          <w:bottom w:w="55" w:type="dxa"/>
          <w:right w:w="55" w:type="dxa"/>
        </w:tblCellMar>
        <w:tblLook w:val="0000" w:firstRow="0" w:lastRow="0" w:firstColumn="0" w:lastColumn="0" w:noHBand="0" w:noVBand="0"/>
      </w:tblPr>
      <w:tblGrid>
        <w:gridCol w:w="1482"/>
        <w:gridCol w:w="4201"/>
        <w:gridCol w:w="3987"/>
      </w:tblGrid>
      <w:tr w:rsidR="006B14C5">
        <w:tc>
          <w:tcPr>
            <w:tcW w:w="1482"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Pr>
                <w:rFonts w:ascii="Times New Roman" w:hAnsi="Times New Roman" w:cs="Times New Roman"/>
                <w:color w:val="auto"/>
                <w:sz w:val="20"/>
                <w:szCs w:val="20"/>
              </w:rPr>
              <w:t>альтернативи</w:t>
            </w:r>
          </w:p>
        </w:tc>
        <w:tc>
          <w:tcPr>
            <w:tcW w:w="4201"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Вигоди</w:t>
            </w:r>
          </w:p>
        </w:tc>
        <w:tc>
          <w:tcPr>
            <w:tcW w:w="3987" w:type="dxa"/>
            <w:tcBorders>
              <w:top w:val="single" w:sz="2" w:space="0" w:color="000001"/>
              <w:left w:val="single" w:sz="2" w:space="0" w:color="000001"/>
              <w:bottom w:val="single" w:sz="2" w:space="0" w:color="000001"/>
              <w:right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Витрати</w:t>
            </w:r>
          </w:p>
        </w:tc>
      </w:tr>
      <w:tr w:rsidR="006B14C5" w:rsidRPr="002B4A02">
        <w:tc>
          <w:tcPr>
            <w:tcW w:w="1482"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01" w:type="dxa"/>
            <w:tcBorders>
              <w:top w:val="single" w:sz="2" w:space="0" w:color="000001"/>
              <w:left w:val="single" w:sz="2" w:space="0" w:color="000001"/>
              <w:bottom w:val="single" w:sz="2" w:space="0" w:color="000001"/>
            </w:tcBorders>
            <w:shd w:val="clear" w:color="auto" w:fill="auto"/>
          </w:tcPr>
          <w:p w:rsidR="006B14C5" w:rsidRDefault="00031EA5" w:rsidP="00752FAB">
            <w:pPr>
              <w:rPr>
                <w:color w:val="auto"/>
                <w:sz w:val="20"/>
                <w:lang w:val="uk-UA"/>
              </w:rPr>
            </w:pPr>
            <w:r w:rsidRPr="00031EA5">
              <w:rPr>
                <w:color w:val="auto"/>
                <w:sz w:val="20"/>
                <w:lang w:val="uk-UA"/>
              </w:rPr>
              <w:t>Ставка</w:t>
            </w:r>
            <w:r w:rsidR="002B4A02">
              <w:rPr>
                <w:color w:val="auto"/>
                <w:sz w:val="20"/>
                <w:lang w:val="uk-UA"/>
              </w:rPr>
              <w:t xml:space="preserve"> податку </w:t>
            </w:r>
            <w:r w:rsidR="00D40CB2">
              <w:rPr>
                <w:color w:val="auto"/>
                <w:sz w:val="20"/>
                <w:lang w:val="uk-UA"/>
              </w:rPr>
              <w:t>на всій території громади буде</w:t>
            </w:r>
            <w:r w:rsidR="002B4A02">
              <w:rPr>
                <w:color w:val="auto"/>
                <w:sz w:val="20"/>
                <w:lang w:val="uk-UA"/>
              </w:rPr>
              <w:t xml:space="preserve"> мінімальною та дорівню</w:t>
            </w:r>
            <w:r w:rsidR="00D40CB2">
              <w:rPr>
                <w:color w:val="auto"/>
                <w:sz w:val="20"/>
                <w:lang w:val="uk-UA"/>
              </w:rPr>
              <w:t>вати</w:t>
            </w:r>
            <w:r w:rsidR="002B4A02">
              <w:rPr>
                <w:color w:val="auto"/>
                <w:sz w:val="20"/>
                <w:lang w:val="uk-UA"/>
              </w:rPr>
              <w:t xml:space="preserve"> 0,1% розміру мінімальної зарплати за 1 </w:t>
            </w:r>
            <w:proofErr w:type="spellStart"/>
            <w:r w:rsidR="002B4A02">
              <w:rPr>
                <w:color w:val="auto"/>
                <w:sz w:val="20"/>
                <w:lang w:val="uk-UA"/>
              </w:rPr>
              <w:t>кв.м</w:t>
            </w:r>
            <w:proofErr w:type="spellEnd"/>
            <w:r w:rsidR="002B4A02">
              <w:rPr>
                <w:color w:val="auto"/>
                <w:sz w:val="20"/>
                <w:lang w:val="uk-UA"/>
              </w:rPr>
              <w:t>.</w:t>
            </w:r>
            <w:r>
              <w:rPr>
                <w:color w:val="auto"/>
                <w:sz w:val="20"/>
                <w:lang w:val="uk-UA"/>
              </w:rPr>
              <w:t xml:space="preserve"> </w:t>
            </w:r>
            <w:r w:rsidR="00752FAB">
              <w:rPr>
                <w:color w:val="auto"/>
                <w:sz w:val="20"/>
                <w:lang w:val="uk-UA"/>
              </w:rPr>
              <w:t>*</w:t>
            </w:r>
          </w:p>
        </w:tc>
        <w:tc>
          <w:tcPr>
            <w:tcW w:w="3987" w:type="dxa"/>
            <w:tcBorders>
              <w:top w:val="single" w:sz="2" w:space="0" w:color="000001"/>
              <w:left w:val="single" w:sz="2" w:space="0" w:color="000001"/>
              <w:bottom w:val="single" w:sz="2" w:space="0" w:color="000001"/>
              <w:right w:val="single" w:sz="2" w:space="0" w:color="000001"/>
            </w:tcBorders>
            <w:shd w:val="clear" w:color="auto" w:fill="auto"/>
          </w:tcPr>
          <w:p w:rsidR="006B14C5" w:rsidRDefault="00781348">
            <w:pPr>
              <w:rPr>
                <w:color w:val="auto"/>
                <w:sz w:val="20"/>
                <w:lang w:val="uk-UA"/>
              </w:rPr>
            </w:pPr>
            <w:r>
              <w:rPr>
                <w:color w:val="auto"/>
                <w:sz w:val="20"/>
                <w:lang w:val="uk-UA"/>
              </w:rPr>
              <w:t>Відсутні</w:t>
            </w:r>
          </w:p>
          <w:p w:rsidR="006B14C5" w:rsidRDefault="00BD58F7" w:rsidP="00327263">
            <w:pPr>
              <w:rPr>
                <w:sz w:val="20"/>
                <w:lang w:val="uk-UA"/>
              </w:rPr>
            </w:pPr>
            <w:r>
              <w:rPr>
                <w:color w:val="auto"/>
                <w:sz w:val="20"/>
                <w:lang w:val="uk-UA" w:eastAsia="ru-RU"/>
              </w:rPr>
              <w:t>(</w:t>
            </w:r>
            <w:r w:rsidR="00781348">
              <w:rPr>
                <w:color w:val="auto"/>
                <w:sz w:val="20"/>
                <w:lang w:val="uk-UA" w:eastAsia="ru-RU"/>
              </w:rPr>
              <w:t xml:space="preserve">ставка податку </w:t>
            </w:r>
            <w:r w:rsidR="00327263">
              <w:rPr>
                <w:color w:val="auto"/>
                <w:sz w:val="20"/>
                <w:lang w:val="uk-UA" w:eastAsia="ru-RU"/>
              </w:rPr>
              <w:t>не збільшується</w:t>
            </w:r>
            <w:r>
              <w:rPr>
                <w:color w:val="auto"/>
                <w:sz w:val="20"/>
                <w:lang w:val="uk-UA" w:eastAsia="ru-RU"/>
              </w:rPr>
              <w:t>, громадяни додаткових витрат зі сплати податку не понесуть)</w:t>
            </w:r>
          </w:p>
        </w:tc>
      </w:tr>
      <w:tr w:rsidR="006B14C5" w:rsidRPr="002B4A02">
        <w:trPr>
          <w:cantSplit/>
          <w:trHeight w:val="188"/>
        </w:trPr>
        <w:tc>
          <w:tcPr>
            <w:tcW w:w="1482"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201" w:type="dxa"/>
            <w:tcBorders>
              <w:top w:val="single" w:sz="2" w:space="0" w:color="000001"/>
              <w:left w:val="single" w:sz="2" w:space="0" w:color="000001"/>
              <w:bottom w:val="single" w:sz="2" w:space="0" w:color="000001"/>
            </w:tcBorders>
            <w:shd w:val="clear" w:color="auto" w:fill="auto"/>
          </w:tcPr>
          <w:p w:rsidR="006B14C5" w:rsidRDefault="00781348">
            <w:pPr>
              <w:snapToGrid w:val="0"/>
              <w:rPr>
                <w:color w:val="auto"/>
                <w:sz w:val="20"/>
                <w:lang w:val="uk-UA"/>
              </w:rPr>
            </w:pPr>
            <w:r>
              <w:rPr>
                <w:color w:val="auto"/>
                <w:sz w:val="20"/>
                <w:lang w:val="uk-UA"/>
              </w:rPr>
              <w:t>Відсутні</w:t>
            </w:r>
          </w:p>
        </w:tc>
        <w:tc>
          <w:tcPr>
            <w:tcW w:w="3987" w:type="dxa"/>
            <w:tcBorders>
              <w:top w:val="single" w:sz="2" w:space="0" w:color="000001"/>
              <w:left w:val="single" w:sz="2" w:space="0" w:color="000001"/>
              <w:bottom w:val="single" w:sz="2" w:space="0" w:color="000001"/>
              <w:right w:val="single" w:sz="2" w:space="0" w:color="000001"/>
            </w:tcBorders>
            <w:shd w:val="clear" w:color="auto" w:fill="auto"/>
          </w:tcPr>
          <w:p w:rsidR="006B14C5" w:rsidRDefault="00781348">
            <w:pPr>
              <w:pStyle w:val="af0"/>
              <w:widowControl w:val="0"/>
              <w:jc w:val="both"/>
              <w:rPr>
                <w:rFonts w:ascii="Times New Roman" w:hAnsi="Times New Roman"/>
                <w:color w:val="auto"/>
                <w:sz w:val="20"/>
                <w:szCs w:val="20"/>
              </w:rPr>
            </w:pPr>
            <w:r>
              <w:rPr>
                <w:rFonts w:ascii="Times New Roman" w:hAnsi="Times New Roman"/>
                <w:color w:val="auto"/>
                <w:sz w:val="20"/>
                <w:szCs w:val="20"/>
              </w:rPr>
              <w:t>Відсутні</w:t>
            </w:r>
          </w:p>
          <w:p w:rsidR="006B14C5" w:rsidRPr="00F76A26" w:rsidRDefault="00BD58F7" w:rsidP="00327263">
            <w:pPr>
              <w:pStyle w:val="af0"/>
              <w:widowControl w:val="0"/>
              <w:jc w:val="both"/>
              <w:rPr>
                <w:rFonts w:ascii="Times New Roman" w:hAnsi="Times New Roman"/>
                <w:color w:val="auto"/>
                <w:sz w:val="20"/>
                <w:szCs w:val="20"/>
              </w:rPr>
            </w:pPr>
            <w:r>
              <w:rPr>
                <w:rFonts w:ascii="Times New Roman" w:hAnsi="Times New Roman" w:cs="Times New Roman"/>
                <w:color w:val="auto"/>
                <w:sz w:val="20"/>
                <w:szCs w:val="20"/>
              </w:rPr>
              <w:t>(в</w:t>
            </w:r>
            <w:r w:rsidR="00F76A26" w:rsidRPr="00F76A26">
              <w:rPr>
                <w:rFonts w:ascii="Times New Roman" w:hAnsi="Times New Roman" w:cs="Times New Roman"/>
                <w:color w:val="auto"/>
                <w:sz w:val="20"/>
                <w:szCs w:val="20"/>
              </w:rPr>
              <w:t>итрати на сплату податку залишаться на існуючому рівні</w:t>
            </w:r>
            <w:r>
              <w:rPr>
                <w:rFonts w:ascii="Times New Roman" w:hAnsi="Times New Roman" w:cs="Times New Roman"/>
                <w:color w:val="auto"/>
                <w:sz w:val="20"/>
                <w:szCs w:val="20"/>
              </w:rPr>
              <w:t>)</w:t>
            </w:r>
          </w:p>
        </w:tc>
      </w:tr>
    </w:tbl>
    <w:p w:rsidR="00467968" w:rsidRPr="00467968" w:rsidRDefault="00467968" w:rsidP="00467968">
      <w:pPr>
        <w:rPr>
          <w:color w:val="auto"/>
          <w:sz w:val="20"/>
          <w:lang w:val="uk-UA"/>
        </w:rPr>
      </w:pPr>
      <w:r w:rsidRPr="00467968">
        <w:rPr>
          <w:color w:val="auto"/>
          <w:sz w:val="20"/>
          <w:lang w:val="uk-UA" w:eastAsia="ru-RU"/>
        </w:rPr>
        <w:t>__________</w:t>
      </w:r>
    </w:p>
    <w:p w:rsidR="006B14C5" w:rsidRPr="00E27EC0" w:rsidRDefault="002B4A02">
      <w:pPr>
        <w:rPr>
          <w:color w:val="auto"/>
          <w:sz w:val="20"/>
          <w:lang w:val="uk-UA"/>
        </w:rPr>
      </w:pPr>
      <w:r w:rsidRPr="00E27EC0">
        <w:rPr>
          <w:color w:val="auto"/>
          <w:sz w:val="20"/>
          <w:lang w:val="uk-UA"/>
        </w:rPr>
        <w:t>* Мінімальна ставка податку встановлена виходячи з того, що м. Авдіївка та с. Опитне знаходяться на лінії зіткнення.</w:t>
      </w:r>
    </w:p>
    <w:p w:rsidR="00F34814" w:rsidRPr="00E27EC0" w:rsidRDefault="00F34814">
      <w:pPr>
        <w:rPr>
          <w:color w:val="auto"/>
          <w:sz w:val="20"/>
          <w:lang w:val="uk-UA"/>
        </w:rPr>
      </w:pPr>
    </w:p>
    <w:p w:rsidR="006B14C5" w:rsidRDefault="00781348">
      <w:pPr>
        <w:pStyle w:val="aa"/>
        <w:spacing w:after="0" w:line="240" w:lineRule="auto"/>
        <w:jc w:val="center"/>
        <w:rPr>
          <w:rFonts w:ascii="Times New Roman" w:hAnsi="Times New Roman" w:cs="Times New Roman"/>
          <w:bCs/>
          <w:color w:val="auto"/>
          <w:sz w:val="24"/>
        </w:rPr>
      </w:pPr>
      <w:r>
        <w:rPr>
          <w:rFonts w:ascii="Times New Roman" w:hAnsi="Times New Roman" w:cs="Times New Roman"/>
          <w:bCs/>
          <w:color w:val="auto"/>
          <w:sz w:val="24"/>
        </w:rPr>
        <w:t>3.3. Оцінка впливу на сферу інтересів суб’єктів підприємницької діяльності:</w:t>
      </w:r>
    </w:p>
    <w:p w:rsidR="006B14C5" w:rsidRDefault="006B14C5">
      <w:pPr>
        <w:pStyle w:val="aa"/>
        <w:spacing w:after="0" w:line="240" w:lineRule="auto"/>
        <w:jc w:val="both"/>
        <w:rPr>
          <w:rFonts w:ascii="Times New Roman" w:hAnsi="Times New Roman" w:cs="Times New Roman"/>
          <w:bCs/>
          <w:color w:val="auto"/>
          <w:sz w:val="24"/>
        </w:rPr>
      </w:pPr>
    </w:p>
    <w:tbl>
      <w:tblPr>
        <w:tblW w:w="9644" w:type="dxa"/>
        <w:tblInd w:w="19" w:type="dxa"/>
        <w:tblLayout w:type="fixed"/>
        <w:tblCellMar>
          <w:left w:w="98" w:type="dxa"/>
        </w:tblCellMar>
        <w:tblLook w:val="0000" w:firstRow="0" w:lastRow="0" w:firstColumn="0" w:lastColumn="0" w:noHBand="0" w:noVBand="0"/>
      </w:tblPr>
      <w:tblGrid>
        <w:gridCol w:w="4655"/>
        <w:gridCol w:w="973"/>
        <w:gridCol w:w="1016"/>
        <w:gridCol w:w="995"/>
        <w:gridCol w:w="986"/>
        <w:gridCol w:w="1019"/>
      </w:tblGrid>
      <w:tr w:rsidR="006B14C5">
        <w:trPr>
          <w:trHeight w:val="139"/>
        </w:trPr>
        <w:tc>
          <w:tcPr>
            <w:tcW w:w="4654" w:type="dxa"/>
            <w:vMerge w:val="restart"/>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Показники</w:t>
            </w:r>
          </w:p>
        </w:tc>
        <w:tc>
          <w:tcPr>
            <w:tcW w:w="973" w:type="dxa"/>
            <w:vMerge w:val="restart"/>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Великі</w:t>
            </w:r>
          </w:p>
        </w:tc>
        <w:tc>
          <w:tcPr>
            <w:tcW w:w="1016" w:type="dxa"/>
            <w:vMerge w:val="restart"/>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Середні</w:t>
            </w:r>
          </w:p>
        </w:tc>
        <w:tc>
          <w:tcPr>
            <w:tcW w:w="1981" w:type="dxa"/>
            <w:gridSpan w:val="2"/>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Малі</w:t>
            </w:r>
          </w:p>
        </w:tc>
        <w:tc>
          <w:tcPr>
            <w:tcW w:w="101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jc w:val="center"/>
              <w:rPr>
                <w:color w:val="auto"/>
                <w:sz w:val="20"/>
                <w:lang w:val="uk-UA"/>
              </w:rPr>
            </w:pPr>
            <w:r>
              <w:rPr>
                <w:color w:val="auto"/>
                <w:sz w:val="20"/>
                <w:lang w:val="uk-UA"/>
              </w:rPr>
              <w:t>Разом</w:t>
            </w:r>
          </w:p>
        </w:tc>
      </w:tr>
      <w:tr w:rsidR="006B14C5">
        <w:trPr>
          <w:trHeight w:val="138"/>
        </w:trPr>
        <w:tc>
          <w:tcPr>
            <w:tcW w:w="4654" w:type="dxa"/>
            <w:vMerge/>
            <w:tcBorders>
              <w:top w:val="single" w:sz="4" w:space="0" w:color="000001"/>
              <w:left w:val="single" w:sz="4" w:space="0" w:color="000001"/>
              <w:bottom w:val="single" w:sz="4" w:space="0" w:color="000001"/>
            </w:tcBorders>
            <w:shd w:val="clear" w:color="auto" w:fill="auto"/>
          </w:tcPr>
          <w:p w:rsidR="006B14C5" w:rsidRDefault="006B14C5">
            <w:pPr>
              <w:snapToGrid w:val="0"/>
              <w:jc w:val="center"/>
              <w:rPr>
                <w:color w:val="auto"/>
                <w:sz w:val="20"/>
                <w:lang w:val="uk-UA"/>
              </w:rPr>
            </w:pPr>
          </w:p>
        </w:tc>
        <w:tc>
          <w:tcPr>
            <w:tcW w:w="973" w:type="dxa"/>
            <w:vMerge/>
            <w:tcBorders>
              <w:top w:val="single" w:sz="4" w:space="0" w:color="000001"/>
              <w:left w:val="single" w:sz="4" w:space="0" w:color="000001"/>
              <w:bottom w:val="single" w:sz="4" w:space="0" w:color="000001"/>
            </w:tcBorders>
            <w:shd w:val="clear" w:color="auto" w:fill="auto"/>
          </w:tcPr>
          <w:p w:rsidR="006B14C5" w:rsidRDefault="006B14C5">
            <w:pPr>
              <w:snapToGrid w:val="0"/>
              <w:jc w:val="center"/>
              <w:rPr>
                <w:color w:val="auto"/>
                <w:sz w:val="20"/>
                <w:lang w:val="uk-UA"/>
              </w:rPr>
            </w:pPr>
          </w:p>
        </w:tc>
        <w:tc>
          <w:tcPr>
            <w:tcW w:w="1016" w:type="dxa"/>
            <w:vMerge/>
            <w:tcBorders>
              <w:top w:val="single" w:sz="4" w:space="0" w:color="000001"/>
              <w:left w:val="single" w:sz="4" w:space="0" w:color="000001"/>
              <w:bottom w:val="single" w:sz="4" w:space="0" w:color="000001"/>
            </w:tcBorders>
            <w:shd w:val="clear" w:color="auto" w:fill="auto"/>
          </w:tcPr>
          <w:p w:rsidR="006B14C5" w:rsidRDefault="006B14C5">
            <w:pPr>
              <w:snapToGrid w:val="0"/>
              <w:jc w:val="center"/>
              <w:rPr>
                <w:color w:val="auto"/>
                <w:sz w:val="20"/>
                <w:lang w:val="uk-UA"/>
              </w:rPr>
            </w:pPr>
          </w:p>
        </w:tc>
        <w:tc>
          <w:tcPr>
            <w:tcW w:w="995"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всього</w:t>
            </w:r>
          </w:p>
        </w:tc>
        <w:tc>
          <w:tcPr>
            <w:tcW w:w="986"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в тому числі мікро</w:t>
            </w:r>
          </w:p>
        </w:tc>
        <w:tc>
          <w:tcPr>
            <w:tcW w:w="1019" w:type="dxa"/>
            <w:vMerge/>
            <w:tcBorders>
              <w:top w:val="single" w:sz="4" w:space="0" w:color="000001"/>
              <w:left w:val="single" w:sz="4" w:space="0" w:color="000001"/>
              <w:bottom w:val="single" w:sz="4" w:space="0" w:color="000001"/>
              <w:right w:val="single" w:sz="4" w:space="0" w:color="000001"/>
            </w:tcBorders>
            <w:shd w:val="clear" w:color="auto" w:fill="auto"/>
          </w:tcPr>
          <w:p w:rsidR="006B14C5" w:rsidRDefault="006B14C5">
            <w:pPr>
              <w:snapToGrid w:val="0"/>
              <w:jc w:val="center"/>
              <w:rPr>
                <w:color w:val="auto"/>
                <w:sz w:val="20"/>
                <w:lang w:val="uk-UA"/>
              </w:rPr>
            </w:pPr>
          </w:p>
        </w:tc>
      </w:tr>
      <w:tr w:rsidR="006B14C5">
        <w:tc>
          <w:tcPr>
            <w:tcW w:w="4654" w:type="dxa"/>
            <w:tcBorders>
              <w:top w:val="single" w:sz="4" w:space="0" w:color="000001"/>
              <w:left w:val="single" w:sz="4" w:space="0" w:color="000001"/>
              <w:bottom w:val="single" w:sz="4" w:space="0" w:color="000001"/>
            </w:tcBorders>
            <w:shd w:val="clear" w:color="auto" w:fill="auto"/>
          </w:tcPr>
          <w:p w:rsidR="006B14C5" w:rsidRDefault="00781348">
            <w:pPr>
              <w:rPr>
                <w:color w:val="auto"/>
                <w:sz w:val="20"/>
                <w:lang w:val="uk-UA"/>
              </w:rPr>
            </w:pPr>
            <w:r>
              <w:rPr>
                <w:color w:val="auto"/>
                <w:sz w:val="20"/>
                <w:lang w:val="uk-UA"/>
              </w:rPr>
              <w:t xml:space="preserve">Кількість суб’єктів, господарювання, що підпадають під дію регулювання, одиниць </w:t>
            </w:r>
          </w:p>
        </w:tc>
        <w:tc>
          <w:tcPr>
            <w:tcW w:w="973"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1</w:t>
            </w:r>
          </w:p>
        </w:tc>
        <w:tc>
          <w:tcPr>
            <w:tcW w:w="1016"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2</w:t>
            </w:r>
          </w:p>
        </w:tc>
        <w:tc>
          <w:tcPr>
            <w:tcW w:w="995"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67</w:t>
            </w:r>
          </w:p>
        </w:tc>
        <w:tc>
          <w:tcPr>
            <w:tcW w:w="986"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64</w:t>
            </w:r>
          </w:p>
        </w:tc>
        <w:tc>
          <w:tcPr>
            <w:tcW w:w="101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jc w:val="center"/>
              <w:rPr>
                <w:color w:val="auto"/>
                <w:sz w:val="20"/>
                <w:lang w:val="uk-UA"/>
              </w:rPr>
            </w:pPr>
            <w:r>
              <w:rPr>
                <w:color w:val="auto"/>
                <w:sz w:val="20"/>
                <w:lang w:val="uk-UA"/>
              </w:rPr>
              <w:t>70</w:t>
            </w:r>
          </w:p>
        </w:tc>
      </w:tr>
      <w:tr w:rsidR="006B14C5">
        <w:tc>
          <w:tcPr>
            <w:tcW w:w="4654" w:type="dxa"/>
            <w:tcBorders>
              <w:top w:val="single" w:sz="4" w:space="0" w:color="000001"/>
              <w:left w:val="single" w:sz="4" w:space="0" w:color="000001"/>
              <w:bottom w:val="single" w:sz="4" w:space="0" w:color="000001"/>
            </w:tcBorders>
            <w:shd w:val="clear" w:color="auto" w:fill="auto"/>
          </w:tcPr>
          <w:p w:rsidR="006B14C5" w:rsidRDefault="00781348">
            <w:pPr>
              <w:rPr>
                <w:color w:val="auto"/>
                <w:sz w:val="20"/>
                <w:lang w:val="uk-UA"/>
              </w:rPr>
            </w:pPr>
            <w:r>
              <w:rPr>
                <w:color w:val="auto"/>
                <w:sz w:val="20"/>
                <w:lang w:val="uk-UA"/>
              </w:rPr>
              <w:t>Питома вага групи у загальній кількості, відсотків</w:t>
            </w:r>
          </w:p>
        </w:tc>
        <w:tc>
          <w:tcPr>
            <w:tcW w:w="973"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1</w:t>
            </w:r>
          </w:p>
        </w:tc>
        <w:tc>
          <w:tcPr>
            <w:tcW w:w="1016"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3</w:t>
            </w:r>
          </w:p>
        </w:tc>
        <w:tc>
          <w:tcPr>
            <w:tcW w:w="995"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96</w:t>
            </w:r>
          </w:p>
        </w:tc>
        <w:tc>
          <w:tcPr>
            <w:tcW w:w="986"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91</w:t>
            </w:r>
          </w:p>
        </w:tc>
        <w:tc>
          <w:tcPr>
            <w:tcW w:w="101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jc w:val="center"/>
              <w:rPr>
                <w:color w:val="auto"/>
                <w:sz w:val="20"/>
                <w:lang w:val="en-US"/>
              </w:rPr>
            </w:pPr>
            <w:r>
              <w:rPr>
                <w:color w:val="auto"/>
                <w:sz w:val="20"/>
                <w:lang w:val="en-US"/>
              </w:rPr>
              <w:t>100</w:t>
            </w:r>
          </w:p>
        </w:tc>
      </w:tr>
    </w:tbl>
    <w:p w:rsidR="006B14C5" w:rsidRDefault="006B14C5">
      <w:pPr>
        <w:pStyle w:val="aa"/>
        <w:spacing w:after="0" w:line="240" w:lineRule="auto"/>
        <w:jc w:val="both"/>
        <w:rPr>
          <w:rFonts w:ascii="Times New Roman" w:hAnsi="Times New Roman" w:cs="Times New Roman"/>
          <w:b/>
          <w:bCs/>
          <w:color w:val="auto"/>
          <w:sz w:val="24"/>
        </w:rPr>
      </w:pPr>
    </w:p>
    <w:p w:rsidR="006B14C5" w:rsidRDefault="00781348">
      <w:pPr>
        <w:ind w:firstLine="708"/>
        <w:rPr>
          <w:color w:val="auto"/>
          <w:szCs w:val="24"/>
          <w:lang w:val="uk-UA"/>
        </w:rPr>
      </w:pPr>
      <w:r>
        <w:rPr>
          <w:rStyle w:val="rvts0"/>
          <w:lang w:val="uk-UA"/>
        </w:rPr>
        <w:t>Оцінка впливу на сферу інтересів усіх суб’єктів господарювання (витрати визначені у Додатках 1 та 2)</w:t>
      </w:r>
    </w:p>
    <w:tbl>
      <w:tblPr>
        <w:tblW w:w="9670" w:type="dxa"/>
        <w:tblInd w:w="-4" w:type="dxa"/>
        <w:tblLayout w:type="fixed"/>
        <w:tblCellMar>
          <w:top w:w="55" w:type="dxa"/>
          <w:left w:w="49" w:type="dxa"/>
          <w:bottom w:w="55" w:type="dxa"/>
          <w:right w:w="55" w:type="dxa"/>
        </w:tblCellMar>
        <w:tblLook w:val="0000" w:firstRow="0" w:lastRow="0" w:firstColumn="0" w:lastColumn="0" w:noHBand="0" w:noVBand="0"/>
      </w:tblPr>
      <w:tblGrid>
        <w:gridCol w:w="1482"/>
        <w:gridCol w:w="4208"/>
        <w:gridCol w:w="3980"/>
      </w:tblGrid>
      <w:tr w:rsidR="006B14C5">
        <w:tc>
          <w:tcPr>
            <w:tcW w:w="1482"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Pr>
                <w:rFonts w:ascii="Times New Roman" w:hAnsi="Times New Roman" w:cs="Times New Roman"/>
                <w:color w:val="auto"/>
                <w:sz w:val="20"/>
                <w:szCs w:val="20"/>
              </w:rPr>
              <w:t>альтернативи</w:t>
            </w:r>
          </w:p>
        </w:tc>
        <w:tc>
          <w:tcPr>
            <w:tcW w:w="4208"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Вигоди</w:t>
            </w:r>
          </w:p>
        </w:tc>
        <w:tc>
          <w:tcPr>
            <w:tcW w:w="3980" w:type="dxa"/>
            <w:tcBorders>
              <w:top w:val="single" w:sz="2" w:space="0" w:color="000001"/>
              <w:left w:val="single" w:sz="2" w:space="0" w:color="000001"/>
              <w:bottom w:val="single" w:sz="2" w:space="0" w:color="000001"/>
              <w:right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Витрати</w:t>
            </w:r>
          </w:p>
        </w:tc>
      </w:tr>
      <w:tr w:rsidR="006B14C5">
        <w:tc>
          <w:tcPr>
            <w:tcW w:w="1482"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08" w:type="dxa"/>
            <w:tcBorders>
              <w:top w:val="single" w:sz="2" w:space="0" w:color="000001"/>
              <w:left w:val="single" w:sz="2" w:space="0" w:color="000001"/>
              <w:bottom w:val="single" w:sz="2" w:space="0" w:color="000001"/>
            </w:tcBorders>
            <w:shd w:val="clear" w:color="auto" w:fill="auto"/>
          </w:tcPr>
          <w:p w:rsidR="00F76A26" w:rsidRDefault="00F76A26" w:rsidP="007C7276">
            <w:pPr>
              <w:rPr>
                <w:color w:val="auto"/>
                <w:sz w:val="20"/>
                <w:lang w:val="uk-UA"/>
              </w:rPr>
            </w:pPr>
            <w:r w:rsidRPr="00031EA5">
              <w:rPr>
                <w:color w:val="auto"/>
                <w:sz w:val="20"/>
                <w:lang w:val="uk-UA"/>
              </w:rPr>
              <w:t>Ставка</w:t>
            </w:r>
            <w:r>
              <w:rPr>
                <w:color w:val="auto"/>
                <w:sz w:val="20"/>
                <w:lang w:val="uk-UA"/>
              </w:rPr>
              <w:t xml:space="preserve"> податку на всій території громади буде мінімальною та дорівнювати 0,1% розміру мінімальної зарплати за 1 </w:t>
            </w:r>
            <w:proofErr w:type="spellStart"/>
            <w:r>
              <w:rPr>
                <w:color w:val="auto"/>
                <w:sz w:val="20"/>
                <w:lang w:val="uk-UA"/>
              </w:rPr>
              <w:t>кв.м</w:t>
            </w:r>
            <w:proofErr w:type="spellEnd"/>
            <w:r>
              <w:rPr>
                <w:color w:val="auto"/>
                <w:sz w:val="20"/>
                <w:lang w:val="uk-UA"/>
              </w:rPr>
              <w:t>. *</w:t>
            </w:r>
          </w:p>
        </w:tc>
        <w:tc>
          <w:tcPr>
            <w:tcW w:w="3980" w:type="dxa"/>
            <w:tcBorders>
              <w:top w:val="single" w:sz="2" w:space="0" w:color="000001"/>
              <w:left w:val="single" w:sz="2" w:space="0" w:color="000001"/>
              <w:bottom w:val="single" w:sz="2" w:space="0" w:color="000001"/>
              <w:right w:val="single" w:sz="2" w:space="0" w:color="000001"/>
            </w:tcBorders>
            <w:shd w:val="clear" w:color="auto" w:fill="auto"/>
          </w:tcPr>
          <w:p w:rsidR="00D40CB2" w:rsidRDefault="00781348" w:rsidP="007C7276">
            <w:pPr>
              <w:pStyle w:val="af0"/>
              <w:widowControl w:val="0"/>
              <w:snapToGrid w:val="0"/>
              <w:jc w:val="center"/>
              <w:rPr>
                <w:rFonts w:ascii="Times New Roman" w:hAnsi="Times New Roman" w:cs="Times New Roman"/>
                <w:color w:val="auto"/>
                <w:sz w:val="20"/>
                <w:szCs w:val="20"/>
              </w:rPr>
            </w:pPr>
            <w:r>
              <w:rPr>
                <w:rFonts w:ascii="Times New Roman" w:hAnsi="Times New Roman" w:cs="Times New Roman"/>
                <w:color w:val="auto"/>
                <w:sz w:val="20"/>
                <w:szCs w:val="20"/>
              </w:rPr>
              <w:t>51105</w:t>
            </w:r>
            <w:r w:rsidR="005B6151">
              <w:rPr>
                <w:rFonts w:ascii="Times New Roman" w:hAnsi="Times New Roman" w:cs="Times New Roman"/>
                <w:color w:val="auto"/>
                <w:sz w:val="20"/>
                <w:szCs w:val="20"/>
              </w:rPr>
              <w:t xml:space="preserve"> грн.</w:t>
            </w:r>
            <w:r w:rsidR="00D40CB2">
              <w:rPr>
                <w:rFonts w:ascii="Times New Roman" w:hAnsi="Times New Roman" w:cs="Times New Roman"/>
                <w:color w:val="auto"/>
                <w:sz w:val="20"/>
                <w:szCs w:val="20"/>
              </w:rPr>
              <w:t xml:space="preserve"> </w:t>
            </w:r>
            <w:r>
              <w:rPr>
                <w:rFonts w:ascii="Times New Roman" w:hAnsi="Times New Roman" w:cs="Times New Roman"/>
                <w:color w:val="auto"/>
                <w:sz w:val="16"/>
                <w:szCs w:val="16"/>
              </w:rPr>
              <w:t>(2865+</w:t>
            </w:r>
            <w:r>
              <w:rPr>
                <w:rFonts w:ascii="Times New Roman" w:hAnsi="Times New Roman"/>
                <w:color w:val="auto"/>
                <w:sz w:val="16"/>
                <w:szCs w:val="16"/>
              </w:rPr>
              <w:t>48240)</w:t>
            </w:r>
            <w:r w:rsidR="00D40CB2">
              <w:rPr>
                <w:rFonts w:ascii="Times New Roman" w:hAnsi="Times New Roman"/>
                <w:color w:val="auto"/>
                <w:sz w:val="16"/>
                <w:szCs w:val="16"/>
              </w:rPr>
              <w:t xml:space="preserve"> </w:t>
            </w:r>
            <w:r w:rsidR="00D40CB2">
              <w:rPr>
                <w:rFonts w:ascii="Times New Roman" w:hAnsi="Times New Roman" w:cs="Times New Roman"/>
                <w:color w:val="auto"/>
                <w:sz w:val="20"/>
                <w:szCs w:val="20"/>
              </w:rPr>
              <w:t>*</w:t>
            </w:r>
            <w:r w:rsidR="00F76A26">
              <w:rPr>
                <w:rFonts w:ascii="Times New Roman" w:hAnsi="Times New Roman" w:cs="Times New Roman"/>
                <w:color w:val="auto"/>
                <w:sz w:val="20"/>
                <w:szCs w:val="20"/>
              </w:rPr>
              <w:t>*</w:t>
            </w:r>
          </w:p>
          <w:p w:rsidR="002B0E9E" w:rsidRDefault="002B0E9E" w:rsidP="002B0E9E">
            <w:pPr>
              <w:pStyle w:val="af0"/>
              <w:widowControl w:val="0"/>
              <w:snapToGrid w:val="0"/>
              <w:jc w:val="center"/>
              <w:rPr>
                <w:rFonts w:ascii="Times New Roman" w:hAnsi="Times New Roman"/>
                <w:sz w:val="16"/>
                <w:szCs w:val="16"/>
              </w:rPr>
            </w:pPr>
            <w:r>
              <w:rPr>
                <w:color w:val="auto"/>
                <w:sz w:val="20"/>
                <w:lang w:eastAsia="ru-RU"/>
              </w:rPr>
              <w:t xml:space="preserve">(ставка податку не збільшується, </w:t>
            </w:r>
            <w:r w:rsidRPr="002B0E9E">
              <w:rPr>
                <w:color w:val="auto"/>
                <w:sz w:val="20"/>
                <w:lang w:eastAsia="ru-RU"/>
              </w:rPr>
              <w:t>суб’єкт</w:t>
            </w:r>
            <w:r>
              <w:rPr>
                <w:color w:val="auto"/>
                <w:sz w:val="20"/>
                <w:lang w:eastAsia="ru-RU"/>
              </w:rPr>
              <w:t>и</w:t>
            </w:r>
            <w:r w:rsidRPr="002B0E9E">
              <w:rPr>
                <w:color w:val="auto"/>
                <w:sz w:val="20"/>
                <w:lang w:eastAsia="ru-RU"/>
              </w:rPr>
              <w:t xml:space="preserve"> господарювання</w:t>
            </w:r>
            <w:r>
              <w:rPr>
                <w:color w:val="auto"/>
                <w:sz w:val="20"/>
                <w:lang w:eastAsia="ru-RU"/>
              </w:rPr>
              <w:t xml:space="preserve"> додаткових витрат зі сплати податку не понесуть)</w:t>
            </w:r>
          </w:p>
        </w:tc>
      </w:tr>
      <w:tr w:rsidR="006B14C5">
        <w:trPr>
          <w:cantSplit/>
        </w:trPr>
        <w:tc>
          <w:tcPr>
            <w:tcW w:w="1482" w:type="dxa"/>
            <w:tcBorders>
              <w:top w:val="single" w:sz="2" w:space="0" w:color="000001"/>
              <w:left w:val="single" w:sz="2" w:space="0" w:color="000001"/>
              <w:bottom w:val="single" w:sz="2"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208" w:type="dxa"/>
            <w:tcBorders>
              <w:top w:val="single" w:sz="2" w:space="0" w:color="000001"/>
              <w:left w:val="single" w:sz="2" w:space="0" w:color="000001"/>
              <w:bottom w:val="single" w:sz="2" w:space="0" w:color="000001"/>
            </w:tcBorders>
            <w:shd w:val="clear" w:color="auto" w:fill="auto"/>
          </w:tcPr>
          <w:p w:rsidR="006B14C5" w:rsidRDefault="00781348">
            <w:pPr>
              <w:snapToGrid w:val="0"/>
              <w:jc w:val="center"/>
              <w:rPr>
                <w:color w:val="auto"/>
                <w:sz w:val="20"/>
                <w:lang w:val="uk-UA"/>
              </w:rPr>
            </w:pPr>
            <w:r>
              <w:rPr>
                <w:color w:val="auto"/>
                <w:sz w:val="20"/>
                <w:lang w:val="uk-UA"/>
              </w:rPr>
              <w:t>Відсутні</w:t>
            </w:r>
          </w:p>
        </w:tc>
        <w:tc>
          <w:tcPr>
            <w:tcW w:w="3980" w:type="dxa"/>
            <w:tcBorders>
              <w:top w:val="single" w:sz="2" w:space="0" w:color="000001"/>
              <w:left w:val="single" w:sz="2" w:space="0" w:color="000001"/>
              <w:bottom w:val="single" w:sz="2" w:space="0" w:color="000001"/>
              <w:right w:val="single" w:sz="2" w:space="0" w:color="000001"/>
            </w:tcBorders>
            <w:shd w:val="clear" w:color="auto" w:fill="auto"/>
          </w:tcPr>
          <w:p w:rsidR="00D40CB2" w:rsidRDefault="00781348" w:rsidP="00D40CB2">
            <w:pPr>
              <w:pStyle w:val="af0"/>
              <w:widowControl w:val="0"/>
              <w:snapToGrid w:val="0"/>
              <w:jc w:val="center"/>
              <w:rPr>
                <w:rFonts w:ascii="Times New Roman" w:hAnsi="Times New Roman" w:cs="Times New Roman"/>
                <w:color w:val="auto"/>
                <w:sz w:val="20"/>
                <w:szCs w:val="20"/>
              </w:rPr>
            </w:pPr>
            <w:r>
              <w:rPr>
                <w:rFonts w:ascii="Times New Roman" w:hAnsi="Times New Roman" w:cs="Times New Roman"/>
                <w:color w:val="auto"/>
                <w:sz w:val="20"/>
                <w:szCs w:val="20"/>
              </w:rPr>
              <w:t>51105</w:t>
            </w:r>
            <w:r w:rsidR="005B6151">
              <w:rPr>
                <w:rFonts w:ascii="Times New Roman" w:hAnsi="Times New Roman" w:cs="Times New Roman"/>
                <w:color w:val="auto"/>
                <w:sz w:val="20"/>
                <w:szCs w:val="20"/>
              </w:rPr>
              <w:t xml:space="preserve"> грн.</w:t>
            </w:r>
            <w:r w:rsidR="00D40CB2">
              <w:rPr>
                <w:rFonts w:ascii="Times New Roman" w:hAnsi="Times New Roman" w:cs="Times New Roman"/>
                <w:color w:val="auto"/>
                <w:sz w:val="20"/>
                <w:szCs w:val="20"/>
              </w:rPr>
              <w:t xml:space="preserve"> </w:t>
            </w:r>
            <w:r w:rsidR="00D40CB2">
              <w:rPr>
                <w:rFonts w:ascii="Times New Roman" w:hAnsi="Times New Roman" w:cs="Times New Roman"/>
                <w:color w:val="auto"/>
                <w:sz w:val="16"/>
                <w:szCs w:val="16"/>
              </w:rPr>
              <w:t>(2865+</w:t>
            </w:r>
            <w:r w:rsidR="00D40CB2">
              <w:rPr>
                <w:rFonts w:ascii="Times New Roman" w:hAnsi="Times New Roman"/>
                <w:color w:val="auto"/>
                <w:sz w:val="16"/>
                <w:szCs w:val="16"/>
              </w:rPr>
              <w:t xml:space="preserve">48240) </w:t>
            </w:r>
            <w:r w:rsidR="00D40CB2">
              <w:rPr>
                <w:rFonts w:ascii="Times New Roman" w:hAnsi="Times New Roman" w:cs="Times New Roman"/>
                <w:color w:val="auto"/>
                <w:sz w:val="20"/>
                <w:szCs w:val="20"/>
              </w:rPr>
              <w:t>*</w:t>
            </w:r>
            <w:r w:rsidR="00F76A26">
              <w:rPr>
                <w:rFonts w:ascii="Times New Roman" w:hAnsi="Times New Roman" w:cs="Times New Roman"/>
                <w:color w:val="auto"/>
                <w:sz w:val="20"/>
                <w:szCs w:val="20"/>
              </w:rPr>
              <w:t>*</w:t>
            </w:r>
          </w:p>
          <w:p w:rsidR="00D40CB2" w:rsidRDefault="005B6151" w:rsidP="00D40CB2">
            <w:pPr>
              <w:pStyle w:val="af0"/>
              <w:widowControl w:val="0"/>
              <w:snapToGrid w:val="0"/>
              <w:jc w:val="center"/>
              <w:rPr>
                <w:rFonts w:ascii="Times New Roman" w:hAnsi="Times New Roman" w:cs="Times New Roman"/>
                <w:color w:val="auto"/>
                <w:sz w:val="20"/>
                <w:szCs w:val="20"/>
              </w:rPr>
            </w:pPr>
            <w:r>
              <w:rPr>
                <w:rFonts w:ascii="Times New Roman" w:hAnsi="Times New Roman" w:cs="Times New Roman"/>
                <w:color w:val="auto"/>
                <w:sz w:val="20"/>
                <w:szCs w:val="20"/>
              </w:rPr>
              <w:t>(в</w:t>
            </w:r>
            <w:r w:rsidR="00D40CB2">
              <w:rPr>
                <w:rFonts w:ascii="Times New Roman" w:hAnsi="Times New Roman" w:cs="Times New Roman"/>
                <w:color w:val="auto"/>
                <w:sz w:val="20"/>
                <w:szCs w:val="20"/>
              </w:rPr>
              <w:t>итрати на сплату</w:t>
            </w:r>
            <w:r w:rsidR="00F76A26">
              <w:rPr>
                <w:rFonts w:ascii="Times New Roman" w:hAnsi="Times New Roman" w:cs="Times New Roman"/>
                <w:color w:val="auto"/>
                <w:sz w:val="20"/>
                <w:szCs w:val="20"/>
              </w:rPr>
              <w:t xml:space="preserve"> податку</w:t>
            </w:r>
            <w:r w:rsidR="00D40CB2">
              <w:rPr>
                <w:rFonts w:ascii="Times New Roman" w:hAnsi="Times New Roman" w:cs="Times New Roman"/>
                <w:color w:val="auto"/>
                <w:sz w:val="20"/>
                <w:szCs w:val="20"/>
              </w:rPr>
              <w:t xml:space="preserve"> залишаться на існуючому рівні</w:t>
            </w:r>
            <w:r>
              <w:rPr>
                <w:rFonts w:ascii="Times New Roman" w:hAnsi="Times New Roman" w:cs="Times New Roman"/>
                <w:color w:val="auto"/>
                <w:sz w:val="20"/>
                <w:szCs w:val="20"/>
              </w:rPr>
              <w:t>)</w:t>
            </w:r>
          </w:p>
        </w:tc>
      </w:tr>
    </w:tbl>
    <w:p w:rsidR="00467968" w:rsidRPr="00467968" w:rsidRDefault="00467968" w:rsidP="00467968">
      <w:pPr>
        <w:rPr>
          <w:color w:val="auto"/>
          <w:sz w:val="20"/>
          <w:lang w:val="uk-UA"/>
        </w:rPr>
      </w:pPr>
      <w:r w:rsidRPr="00467968">
        <w:rPr>
          <w:color w:val="auto"/>
          <w:sz w:val="20"/>
          <w:lang w:val="uk-UA" w:eastAsia="ru-RU"/>
        </w:rPr>
        <w:t>__________</w:t>
      </w:r>
    </w:p>
    <w:p w:rsidR="006B14C5" w:rsidRDefault="00D40CB2" w:rsidP="00467968">
      <w:pPr>
        <w:rPr>
          <w:color w:val="auto"/>
          <w:sz w:val="20"/>
          <w:lang w:val="uk-UA"/>
        </w:rPr>
      </w:pPr>
      <w:r w:rsidRPr="0022003B">
        <w:rPr>
          <w:color w:val="auto"/>
          <w:sz w:val="20"/>
          <w:lang w:val="uk-UA"/>
        </w:rPr>
        <w:t>* М</w:t>
      </w:r>
      <w:r>
        <w:rPr>
          <w:color w:val="auto"/>
          <w:sz w:val="20"/>
          <w:lang w:val="uk-UA"/>
        </w:rPr>
        <w:t>інімальна ставка податку встановлена виходячи з того, що м. Авдіївка та с. Опитне знаходяться на лінії зіткнення.</w:t>
      </w:r>
    </w:p>
    <w:p w:rsidR="00D40CB2" w:rsidRPr="00D40CB2" w:rsidRDefault="00D40CB2" w:rsidP="00467968">
      <w:pPr>
        <w:rPr>
          <w:color w:val="auto"/>
          <w:sz w:val="20"/>
          <w:lang w:val="uk-UA"/>
        </w:rPr>
      </w:pPr>
      <w:r>
        <w:rPr>
          <w:color w:val="auto"/>
          <w:sz w:val="20"/>
        </w:rPr>
        <w:t>**</w:t>
      </w:r>
      <w:r>
        <w:rPr>
          <w:color w:val="auto"/>
          <w:sz w:val="20"/>
          <w:lang w:val="uk-UA"/>
        </w:rPr>
        <w:t xml:space="preserve"> </w:t>
      </w:r>
      <w:r w:rsidRPr="00D40CB2">
        <w:rPr>
          <w:color w:val="auto"/>
          <w:sz w:val="20"/>
          <w:lang w:val="uk-UA"/>
        </w:rPr>
        <w:t>Зазначені витрати не залежать від розміру ставок податку</w:t>
      </w:r>
      <w:r>
        <w:rPr>
          <w:color w:val="auto"/>
          <w:sz w:val="20"/>
          <w:lang w:val="uk-UA"/>
        </w:rPr>
        <w:t>.</w:t>
      </w:r>
    </w:p>
    <w:p w:rsidR="00D40CB2" w:rsidRDefault="00D40CB2">
      <w:pPr>
        <w:ind w:firstLine="708"/>
        <w:rPr>
          <w:rStyle w:val="rvts0"/>
          <w:lang w:val="uk-UA"/>
        </w:rPr>
      </w:pPr>
    </w:p>
    <w:p w:rsidR="006B14C5" w:rsidRDefault="00781348">
      <w:pPr>
        <w:ind w:firstLine="708"/>
        <w:rPr>
          <w:rStyle w:val="rvts0"/>
          <w:lang w:val="uk-UA"/>
        </w:rPr>
      </w:pPr>
      <w:r>
        <w:rPr>
          <w:rStyle w:val="rvts0"/>
          <w:lang w:val="uk-UA"/>
        </w:rPr>
        <w:t>Витрати, які будуть виникати внаслідок дії регуляторного акту на сферу інтересів суб’єктів господарювання великого і середнього підприємництва (визначені у Додатку 1):</w:t>
      </w:r>
    </w:p>
    <w:p w:rsidR="006B14C5" w:rsidRDefault="006B14C5">
      <w:pPr>
        <w:ind w:firstLine="708"/>
        <w:rPr>
          <w:color w:val="auto"/>
          <w:szCs w:val="24"/>
          <w:lang w:val="uk-UA"/>
        </w:rPr>
      </w:pPr>
    </w:p>
    <w:tbl>
      <w:tblPr>
        <w:tblStyle w:val="af7"/>
        <w:tblW w:w="9628" w:type="dxa"/>
        <w:tblLayout w:type="fixed"/>
        <w:tblLook w:val="04A0" w:firstRow="1" w:lastRow="0" w:firstColumn="1" w:lastColumn="0" w:noHBand="0" w:noVBand="1"/>
      </w:tblPr>
      <w:tblGrid>
        <w:gridCol w:w="4815"/>
        <w:gridCol w:w="4813"/>
      </w:tblGrid>
      <w:tr w:rsidR="006B14C5">
        <w:tc>
          <w:tcPr>
            <w:tcW w:w="4814" w:type="dxa"/>
          </w:tcPr>
          <w:p w:rsidR="006B14C5" w:rsidRDefault="00781348">
            <w:pPr>
              <w:jc w:val="center"/>
              <w:rPr>
                <w:color w:val="auto"/>
                <w:sz w:val="20"/>
                <w:lang w:val="uk-UA"/>
              </w:rPr>
            </w:pPr>
            <w:r>
              <w:rPr>
                <w:color w:val="auto"/>
                <w:sz w:val="20"/>
                <w:lang w:val="uk-UA" w:eastAsia="ru-RU"/>
              </w:rPr>
              <w:t>Сумарні витрати за альтернативами</w:t>
            </w:r>
          </w:p>
        </w:tc>
        <w:tc>
          <w:tcPr>
            <w:tcW w:w="4813" w:type="dxa"/>
          </w:tcPr>
          <w:p w:rsidR="006B14C5" w:rsidRDefault="00781348">
            <w:pPr>
              <w:jc w:val="center"/>
              <w:rPr>
                <w:color w:val="auto"/>
                <w:sz w:val="20"/>
                <w:lang w:val="uk-UA"/>
              </w:rPr>
            </w:pPr>
            <w:r>
              <w:rPr>
                <w:color w:val="auto"/>
                <w:sz w:val="20"/>
                <w:lang w:val="uk-UA" w:eastAsia="ru-RU"/>
              </w:rPr>
              <w:t>Сума витрат, гривень</w:t>
            </w:r>
          </w:p>
        </w:tc>
      </w:tr>
      <w:tr w:rsidR="006B14C5">
        <w:tc>
          <w:tcPr>
            <w:tcW w:w="4814" w:type="dxa"/>
          </w:tcPr>
          <w:p w:rsidR="006B14C5" w:rsidRDefault="00781348">
            <w:pPr>
              <w:jc w:val="center"/>
              <w:rPr>
                <w:color w:val="auto"/>
                <w:sz w:val="20"/>
                <w:lang w:val="uk-UA"/>
              </w:rPr>
            </w:pPr>
            <w:r>
              <w:rPr>
                <w:color w:val="auto"/>
                <w:sz w:val="20"/>
                <w:lang w:val="uk-UA" w:eastAsia="ru-RU"/>
              </w:rPr>
              <w:t>Альтернатива 1</w:t>
            </w:r>
          </w:p>
        </w:tc>
        <w:tc>
          <w:tcPr>
            <w:tcW w:w="4813" w:type="dxa"/>
          </w:tcPr>
          <w:p w:rsidR="006B14C5" w:rsidRDefault="00781348">
            <w:pPr>
              <w:jc w:val="center"/>
              <w:rPr>
                <w:color w:val="auto"/>
                <w:sz w:val="20"/>
                <w:lang w:val="uk-UA"/>
              </w:rPr>
            </w:pPr>
            <w:r>
              <w:rPr>
                <w:color w:val="auto"/>
                <w:sz w:val="20"/>
                <w:lang w:val="uk-UA" w:eastAsia="ru-RU"/>
              </w:rPr>
              <w:t>2865</w:t>
            </w:r>
          </w:p>
        </w:tc>
      </w:tr>
      <w:tr w:rsidR="006B14C5">
        <w:tc>
          <w:tcPr>
            <w:tcW w:w="4814" w:type="dxa"/>
          </w:tcPr>
          <w:p w:rsidR="006B14C5" w:rsidRDefault="00781348">
            <w:pPr>
              <w:jc w:val="center"/>
              <w:rPr>
                <w:color w:val="auto"/>
                <w:sz w:val="20"/>
                <w:lang w:val="uk-UA"/>
              </w:rPr>
            </w:pPr>
            <w:r>
              <w:rPr>
                <w:color w:val="auto"/>
                <w:sz w:val="20"/>
                <w:lang w:val="uk-UA" w:eastAsia="ru-RU"/>
              </w:rPr>
              <w:t>Альтернатива 2</w:t>
            </w:r>
          </w:p>
        </w:tc>
        <w:tc>
          <w:tcPr>
            <w:tcW w:w="4813" w:type="dxa"/>
          </w:tcPr>
          <w:p w:rsidR="006B14C5" w:rsidRDefault="00781348">
            <w:pPr>
              <w:jc w:val="center"/>
              <w:rPr>
                <w:color w:val="auto"/>
                <w:sz w:val="20"/>
                <w:lang w:val="uk-UA"/>
              </w:rPr>
            </w:pPr>
            <w:r>
              <w:rPr>
                <w:color w:val="auto"/>
                <w:sz w:val="20"/>
                <w:lang w:val="uk-UA" w:eastAsia="ru-RU"/>
              </w:rPr>
              <w:t>2865</w:t>
            </w:r>
          </w:p>
        </w:tc>
      </w:tr>
    </w:tbl>
    <w:p w:rsidR="006B14C5" w:rsidRDefault="006B14C5">
      <w:pPr>
        <w:ind w:firstLine="708"/>
        <w:rPr>
          <w:color w:val="auto"/>
          <w:szCs w:val="24"/>
          <w:lang w:val="uk-UA"/>
        </w:rPr>
      </w:pPr>
    </w:p>
    <w:p w:rsidR="006B14C5" w:rsidRDefault="00781348">
      <w:pPr>
        <w:jc w:val="center"/>
        <w:rPr>
          <w:caps/>
          <w:color w:val="auto"/>
          <w:szCs w:val="24"/>
          <w:lang w:val="uk-UA"/>
        </w:rPr>
      </w:pPr>
      <w:r>
        <w:rPr>
          <w:b/>
          <w:bCs/>
          <w:caps/>
          <w:color w:val="auto"/>
          <w:szCs w:val="24"/>
          <w:lang w:val="uk-UA"/>
        </w:rPr>
        <w:t>IV. Вибір найбільш оптимального альтернативного способу досягнення цілей</w:t>
      </w:r>
    </w:p>
    <w:p w:rsidR="006B14C5" w:rsidRDefault="006B14C5">
      <w:pPr>
        <w:rPr>
          <w:color w:val="auto"/>
          <w:szCs w:val="24"/>
          <w:lang w:val="uk-UA"/>
        </w:rPr>
      </w:pPr>
    </w:p>
    <w:tbl>
      <w:tblPr>
        <w:tblW w:w="9648" w:type="dxa"/>
        <w:tblInd w:w="-10" w:type="dxa"/>
        <w:tblLayout w:type="fixed"/>
        <w:tblCellMar>
          <w:top w:w="55" w:type="dxa"/>
          <w:left w:w="45" w:type="dxa"/>
          <w:bottom w:w="55" w:type="dxa"/>
          <w:right w:w="55" w:type="dxa"/>
        </w:tblCellMar>
        <w:tblLook w:val="0000" w:firstRow="0" w:lastRow="0" w:firstColumn="0" w:lastColumn="0" w:noHBand="0" w:noVBand="0"/>
      </w:tblPr>
      <w:tblGrid>
        <w:gridCol w:w="3206"/>
        <w:gridCol w:w="3213"/>
        <w:gridCol w:w="3229"/>
      </w:tblGrid>
      <w:tr w:rsidR="006B14C5">
        <w:tc>
          <w:tcPr>
            <w:tcW w:w="3206"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Рейтинг результативності (досягнення цілей під час </w:t>
            </w:r>
            <w:r>
              <w:rPr>
                <w:rFonts w:ascii="Times New Roman" w:hAnsi="Times New Roman" w:cs="Times New Roman"/>
                <w:color w:val="auto"/>
                <w:sz w:val="20"/>
                <w:szCs w:val="20"/>
              </w:rPr>
              <w:lastRenderedPageBreak/>
              <w:t xml:space="preserve">вирішення проблеми) </w:t>
            </w:r>
          </w:p>
        </w:tc>
        <w:tc>
          <w:tcPr>
            <w:tcW w:w="3213"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Бал результативності (за чотирибальною системою оцінки) </w:t>
            </w:r>
          </w:p>
        </w:tc>
        <w:tc>
          <w:tcPr>
            <w:tcW w:w="322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Коментарі щодо присвоєння відповідного балу</w:t>
            </w:r>
          </w:p>
        </w:tc>
      </w:tr>
      <w:tr w:rsidR="006B14C5">
        <w:tc>
          <w:tcPr>
            <w:tcW w:w="3206"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rPr>
                <w:rFonts w:ascii="Times New Roman" w:hAnsi="Times New Roman" w:cs="Times New Roman"/>
                <w:color w:val="auto"/>
                <w:sz w:val="20"/>
                <w:szCs w:val="20"/>
              </w:rPr>
            </w:pPr>
            <w:r>
              <w:rPr>
                <w:rFonts w:ascii="Times New Roman" w:hAnsi="Times New Roman" w:cs="Times New Roman"/>
                <w:color w:val="auto"/>
                <w:sz w:val="20"/>
                <w:szCs w:val="20"/>
              </w:rPr>
              <w:lastRenderedPageBreak/>
              <w:t>Альтернатива 1</w:t>
            </w:r>
          </w:p>
        </w:tc>
        <w:tc>
          <w:tcPr>
            <w:tcW w:w="3213" w:type="dxa"/>
            <w:tcBorders>
              <w:top w:val="single" w:sz="4" w:space="0" w:color="000001"/>
              <w:left w:val="single" w:sz="4" w:space="0" w:color="000001"/>
              <w:bottom w:val="single" w:sz="4" w:space="0" w:color="000001"/>
            </w:tcBorders>
            <w:shd w:val="clear" w:color="auto" w:fill="auto"/>
          </w:tcPr>
          <w:p w:rsidR="006B14C5" w:rsidRDefault="00BA1E62">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322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pStyle w:val="af0"/>
              <w:widowControl w:val="0"/>
              <w:jc w:val="both"/>
              <w:rPr>
                <w:rFonts w:ascii="Times New Roman" w:hAnsi="Times New Roman" w:cs="Times New Roman"/>
                <w:color w:val="auto"/>
                <w:sz w:val="20"/>
                <w:szCs w:val="20"/>
              </w:rPr>
            </w:pPr>
            <w:r>
              <w:rPr>
                <w:rFonts w:ascii="Times New Roman" w:hAnsi="Times New Roman" w:cs="Times New Roman"/>
                <w:color w:val="auto"/>
                <w:sz w:val="20"/>
                <w:szCs w:val="20"/>
              </w:rPr>
              <w:t>Забезпечить повне вирішення існуючої проблеми</w:t>
            </w:r>
          </w:p>
        </w:tc>
      </w:tr>
      <w:tr w:rsidR="006B14C5">
        <w:tc>
          <w:tcPr>
            <w:tcW w:w="3206"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rPr>
                <w:rFonts w:ascii="Times New Roman" w:hAnsi="Times New Roman" w:cs="Times New Roman"/>
                <w:color w:val="auto"/>
                <w:sz w:val="20"/>
                <w:szCs w:val="20"/>
              </w:rPr>
            </w:pPr>
            <w:r>
              <w:rPr>
                <w:rFonts w:ascii="Times New Roman" w:hAnsi="Times New Roman" w:cs="Times New Roman"/>
                <w:color w:val="auto"/>
                <w:sz w:val="20"/>
                <w:szCs w:val="20"/>
              </w:rPr>
              <w:t>Альтернатива 2</w:t>
            </w:r>
          </w:p>
        </w:tc>
        <w:tc>
          <w:tcPr>
            <w:tcW w:w="3213"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322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pStyle w:val="af0"/>
              <w:widowControl w:val="0"/>
              <w:jc w:val="both"/>
              <w:rPr>
                <w:rFonts w:ascii="Times New Roman" w:hAnsi="Times New Roman" w:cs="Times New Roman"/>
                <w:color w:val="auto"/>
                <w:sz w:val="20"/>
                <w:szCs w:val="20"/>
              </w:rPr>
            </w:pPr>
            <w:r>
              <w:rPr>
                <w:rFonts w:ascii="Times New Roman" w:hAnsi="Times New Roman" w:cs="Times New Roman"/>
                <w:color w:val="auto"/>
                <w:sz w:val="20"/>
                <w:szCs w:val="20"/>
              </w:rPr>
              <w:t>Проблема продовжить існувати</w:t>
            </w:r>
          </w:p>
        </w:tc>
      </w:tr>
    </w:tbl>
    <w:p w:rsidR="006B14C5" w:rsidRDefault="006B14C5">
      <w:pPr>
        <w:rPr>
          <w:color w:val="auto"/>
          <w:szCs w:val="24"/>
          <w:lang w:val="uk-UA"/>
        </w:rPr>
      </w:pPr>
    </w:p>
    <w:tbl>
      <w:tblPr>
        <w:tblW w:w="9644" w:type="dxa"/>
        <w:tblInd w:w="-10" w:type="dxa"/>
        <w:tblLayout w:type="fixed"/>
        <w:tblCellMar>
          <w:top w:w="55" w:type="dxa"/>
          <w:left w:w="45" w:type="dxa"/>
          <w:bottom w:w="55" w:type="dxa"/>
          <w:right w:w="55" w:type="dxa"/>
        </w:tblCellMar>
        <w:tblLook w:val="0000" w:firstRow="0" w:lastRow="0" w:firstColumn="0" w:lastColumn="0" w:noHBand="0" w:noVBand="0"/>
      </w:tblPr>
      <w:tblGrid>
        <w:gridCol w:w="1857"/>
        <w:gridCol w:w="3110"/>
        <w:gridCol w:w="1849"/>
        <w:gridCol w:w="2828"/>
      </w:tblGrid>
      <w:tr w:rsidR="006B14C5">
        <w:tc>
          <w:tcPr>
            <w:tcW w:w="1856"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Рейтинг результативності </w:t>
            </w:r>
          </w:p>
        </w:tc>
        <w:tc>
          <w:tcPr>
            <w:tcW w:w="3110" w:type="dxa"/>
            <w:tcBorders>
              <w:top w:val="single" w:sz="4" w:space="0" w:color="000001"/>
              <w:left w:val="single" w:sz="4" w:space="0" w:color="000001"/>
              <w:bottom w:val="single" w:sz="4" w:space="0" w:color="000001"/>
              <w:right w:val="single" w:sz="4" w:space="0" w:color="000001"/>
            </w:tcBorders>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Вигоди (підсумок)</w:t>
            </w:r>
          </w:p>
        </w:tc>
        <w:tc>
          <w:tcPr>
            <w:tcW w:w="1849"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Витрати (підсумок)</w:t>
            </w:r>
          </w:p>
        </w:tc>
        <w:tc>
          <w:tcPr>
            <w:tcW w:w="2828"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Обґрунтування відповідного місця альтернативи у рейтингу</w:t>
            </w:r>
          </w:p>
        </w:tc>
      </w:tr>
      <w:tr w:rsidR="006B14C5">
        <w:tc>
          <w:tcPr>
            <w:tcW w:w="1856"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rPr>
                <w:rFonts w:ascii="Times New Roman" w:hAnsi="Times New Roman" w:cs="Times New Roman"/>
                <w:color w:val="auto"/>
                <w:sz w:val="20"/>
                <w:szCs w:val="20"/>
              </w:rPr>
            </w:pPr>
            <w:r>
              <w:rPr>
                <w:rFonts w:ascii="Times New Roman" w:hAnsi="Times New Roman" w:cs="Times New Roman"/>
                <w:color w:val="auto"/>
                <w:sz w:val="20"/>
                <w:szCs w:val="20"/>
              </w:rPr>
              <w:t>Альтернатива 1</w:t>
            </w:r>
          </w:p>
        </w:tc>
        <w:tc>
          <w:tcPr>
            <w:tcW w:w="3110" w:type="dxa"/>
            <w:tcBorders>
              <w:top w:val="single" w:sz="4" w:space="0" w:color="000001"/>
              <w:left w:val="single" w:sz="4" w:space="0" w:color="000001"/>
              <w:bottom w:val="single" w:sz="4" w:space="0" w:color="000001"/>
              <w:right w:val="single" w:sz="4" w:space="0" w:color="000001"/>
            </w:tcBorders>
          </w:tcPr>
          <w:p w:rsidR="006B14C5" w:rsidRDefault="00781348">
            <w:pPr>
              <w:pStyle w:val="af0"/>
              <w:widowControl w:val="0"/>
              <w:numPr>
                <w:ilvl w:val="0"/>
                <w:numId w:val="4"/>
              </w:numPr>
              <w:tabs>
                <w:tab w:val="left" w:pos="368"/>
              </w:tabs>
              <w:ind w:left="0" w:firstLine="85"/>
              <w:jc w:val="both"/>
              <w:rPr>
                <w:rFonts w:ascii="Times New Roman" w:hAnsi="Times New Roman" w:cs="Times New Roman"/>
                <w:color w:val="auto"/>
                <w:sz w:val="20"/>
                <w:szCs w:val="20"/>
              </w:rPr>
            </w:pPr>
            <w:r>
              <w:rPr>
                <w:rFonts w:ascii="Times New Roman" w:hAnsi="Times New Roman" w:cs="Times New Roman"/>
                <w:color w:val="auto"/>
                <w:sz w:val="20"/>
                <w:szCs w:val="20"/>
              </w:rPr>
              <w:t>Забезпечення виконання вимог чинного законодавства.</w:t>
            </w:r>
          </w:p>
          <w:p w:rsidR="006B14C5" w:rsidRDefault="00781348">
            <w:pPr>
              <w:pStyle w:val="af0"/>
              <w:widowControl w:val="0"/>
              <w:numPr>
                <w:ilvl w:val="0"/>
                <w:numId w:val="4"/>
              </w:numPr>
              <w:tabs>
                <w:tab w:val="left" w:pos="368"/>
              </w:tabs>
              <w:ind w:left="0" w:firstLine="85"/>
              <w:jc w:val="both"/>
              <w:rPr>
                <w:rFonts w:ascii="Times New Roman" w:hAnsi="Times New Roman" w:cs="Times New Roman"/>
                <w:color w:val="auto"/>
                <w:sz w:val="20"/>
                <w:szCs w:val="20"/>
              </w:rPr>
            </w:pPr>
            <w:r>
              <w:rPr>
                <w:rFonts w:ascii="Times New Roman" w:hAnsi="Times New Roman" w:cs="Times New Roman"/>
                <w:color w:val="auto"/>
                <w:sz w:val="20"/>
                <w:szCs w:val="20"/>
              </w:rPr>
              <w:t>Врахування інтересів територіальної громади.</w:t>
            </w:r>
          </w:p>
          <w:p w:rsidR="006B14C5" w:rsidRDefault="00781348">
            <w:pPr>
              <w:pStyle w:val="af0"/>
              <w:widowControl w:val="0"/>
              <w:numPr>
                <w:ilvl w:val="0"/>
                <w:numId w:val="4"/>
              </w:numPr>
              <w:tabs>
                <w:tab w:val="left" w:pos="368"/>
              </w:tabs>
              <w:ind w:left="0" w:firstLine="85"/>
              <w:jc w:val="both"/>
              <w:rPr>
                <w:rFonts w:ascii="Times New Roman" w:hAnsi="Times New Roman" w:cs="Times New Roman"/>
                <w:color w:val="auto"/>
                <w:sz w:val="20"/>
                <w:szCs w:val="20"/>
              </w:rPr>
            </w:pPr>
            <w:r>
              <w:rPr>
                <w:rFonts w:ascii="Times New Roman" w:hAnsi="Times New Roman" w:cs="Times New Roman"/>
                <w:color w:val="auto"/>
                <w:sz w:val="20"/>
                <w:szCs w:val="20"/>
              </w:rPr>
              <w:t>Врахування інтересів власників нерухомого майна шляхом встановлення соціально-орієнтованих ставок податку та пільг, які захистять малозабезпечені версти населення</w:t>
            </w:r>
          </w:p>
        </w:tc>
        <w:tc>
          <w:tcPr>
            <w:tcW w:w="1849"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51105</w:t>
            </w:r>
          </w:p>
        </w:tc>
        <w:tc>
          <w:tcPr>
            <w:tcW w:w="2828"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pStyle w:val="af0"/>
              <w:widowControl w:val="0"/>
              <w:jc w:val="both"/>
              <w:rPr>
                <w:rFonts w:ascii="Times New Roman" w:hAnsi="Times New Roman" w:cs="Times New Roman"/>
                <w:color w:val="auto"/>
                <w:sz w:val="20"/>
                <w:szCs w:val="20"/>
              </w:rPr>
            </w:pPr>
            <w:r>
              <w:rPr>
                <w:rFonts w:ascii="Times New Roman" w:hAnsi="Times New Roman" w:cs="Times New Roman"/>
                <w:color w:val="auto"/>
                <w:sz w:val="20"/>
                <w:szCs w:val="20"/>
              </w:rPr>
              <w:t>Забезпечить повне вирішення існуючої проблеми при незмінному рівні ставок податку</w:t>
            </w:r>
          </w:p>
        </w:tc>
      </w:tr>
      <w:tr w:rsidR="006B14C5">
        <w:tc>
          <w:tcPr>
            <w:tcW w:w="1856"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rPr>
                <w:rFonts w:ascii="Times New Roman" w:hAnsi="Times New Roman" w:cs="Times New Roman"/>
                <w:color w:val="auto"/>
                <w:sz w:val="20"/>
                <w:szCs w:val="20"/>
              </w:rPr>
            </w:pPr>
            <w:r>
              <w:rPr>
                <w:rFonts w:ascii="Times New Roman" w:hAnsi="Times New Roman" w:cs="Times New Roman"/>
                <w:color w:val="auto"/>
                <w:sz w:val="20"/>
                <w:szCs w:val="20"/>
              </w:rPr>
              <w:t>Альтернатива 2</w:t>
            </w:r>
          </w:p>
        </w:tc>
        <w:tc>
          <w:tcPr>
            <w:tcW w:w="3110" w:type="dxa"/>
            <w:tcBorders>
              <w:top w:val="single" w:sz="4" w:space="0" w:color="000001"/>
              <w:left w:val="single" w:sz="4" w:space="0" w:color="000001"/>
              <w:bottom w:val="single" w:sz="4" w:space="0" w:color="000001"/>
              <w:right w:val="single" w:sz="4" w:space="0" w:color="000001"/>
            </w:tcBorders>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Відсутні</w:t>
            </w:r>
          </w:p>
        </w:tc>
        <w:tc>
          <w:tcPr>
            <w:tcW w:w="1849" w:type="dxa"/>
            <w:tcBorders>
              <w:top w:val="single" w:sz="4" w:space="0" w:color="000001"/>
              <w:left w:val="single" w:sz="4" w:space="0" w:color="000001"/>
              <w:bottom w:val="single" w:sz="4" w:space="0" w:color="000001"/>
            </w:tcBorders>
            <w:shd w:val="clear" w:color="auto" w:fill="auto"/>
          </w:tcPr>
          <w:p w:rsidR="006B14C5" w:rsidRDefault="00781348">
            <w:pPr>
              <w:pStyle w:val="af0"/>
              <w:widowControl w:val="0"/>
              <w:jc w:val="center"/>
              <w:rPr>
                <w:rFonts w:ascii="Times New Roman" w:hAnsi="Times New Roman" w:cs="Times New Roman"/>
                <w:color w:val="auto"/>
                <w:sz w:val="20"/>
                <w:szCs w:val="20"/>
              </w:rPr>
            </w:pPr>
            <w:r>
              <w:rPr>
                <w:rFonts w:ascii="Times New Roman" w:hAnsi="Times New Roman" w:cs="Times New Roman"/>
                <w:color w:val="auto"/>
                <w:sz w:val="20"/>
                <w:szCs w:val="20"/>
              </w:rPr>
              <w:t>51105</w:t>
            </w:r>
          </w:p>
        </w:tc>
        <w:tc>
          <w:tcPr>
            <w:tcW w:w="2828"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pStyle w:val="af0"/>
              <w:widowControl w:val="0"/>
              <w:jc w:val="both"/>
              <w:rPr>
                <w:rFonts w:ascii="Times New Roman" w:hAnsi="Times New Roman" w:cs="Times New Roman"/>
                <w:color w:val="auto"/>
                <w:sz w:val="20"/>
                <w:szCs w:val="20"/>
              </w:rPr>
            </w:pPr>
            <w:r>
              <w:rPr>
                <w:rFonts w:ascii="Times New Roman" w:hAnsi="Times New Roman" w:cs="Times New Roman"/>
                <w:color w:val="auto"/>
                <w:sz w:val="20"/>
                <w:szCs w:val="20"/>
              </w:rPr>
              <w:t>Не буде вирішена проблема оподаткування по с. Опитному</w:t>
            </w:r>
          </w:p>
        </w:tc>
      </w:tr>
    </w:tbl>
    <w:p w:rsidR="006B14C5" w:rsidRDefault="006B14C5">
      <w:pPr>
        <w:rPr>
          <w:color w:val="auto"/>
          <w:szCs w:val="24"/>
          <w:lang w:val="uk-UA"/>
        </w:rPr>
      </w:pPr>
    </w:p>
    <w:p w:rsidR="006B14C5" w:rsidRDefault="00781348">
      <w:pPr>
        <w:ind w:firstLine="708"/>
        <w:rPr>
          <w:color w:val="auto"/>
          <w:szCs w:val="24"/>
          <w:lang w:val="uk-UA"/>
        </w:rPr>
      </w:pPr>
      <w:r>
        <w:rPr>
          <w:color w:val="auto"/>
          <w:szCs w:val="24"/>
          <w:lang w:val="uk-UA"/>
        </w:rPr>
        <w:t>Як вбачається з вищенаведеного, єдиним оптимальним способом досягнення цілей є альтернатива №1 – прийняття запропонованого регуляторного акту.</w:t>
      </w:r>
    </w:p>
    <w:p w:rsidR="006B14C5" w:rsidRDefault="006B14C5">
      <w:pPr>
        <w:ind w:firstLine="709"/>
        <w:rPr>
          <w:rStyle w:val="rvts15"/>
          <w:color w:val="auto"/>
          <w:szCs w:val="24"/>
          <w:lang w:val="uk-UA"/>
        </w:rPr>
      </w:pPr>
    </w:p>
    <w:p w:rsidR="006B14C5" w:rsidRDefault="00781348">
      <w:pPr>
        <w:ind w:firstLine="709"/>
        <w:jc w:val="center"/>
        <w:rPr>
          <w:rStyle w:val="rvts15"/>
          <w:b/>
          <w:caps/>
          <w:color w:val="auto"/>
          <w:szCs w:val="24"/>
          <w:lang w:val="uk-UA"/>
        </w:rPr>
      </w:pPr>
      <w:r>
        <w:rPr>
          <w:rStyle w:val="rvts15"/>
          <w:b/>
          <w:caps/>
          <w:color w:val="auto"/>
          <w:szCs w:val="24"/>
          <w:lang w:val="uk-UA"/>
        </w:rPr>
        <w:t>V. Механізми та заходи, які забезпечать розв’язання визначеної проблеми</w:t>
      </w:r>
    </w:p>
    <w:p w:rsidR="006B14C5" w:rsidRDefault="006B14C5">
      <w:pPr>
        <w:ind w:firstLine="709"/>
        <w:rPr>
          <w:color w:val="auto"/>
          <w:szCs w:val="24"/>
          <w:lang w:val="uk-UA"/>
        </w:rPr>
      </w:pPr>
    </w:p>
    <w:p w:rsidR="006B14C5" w:rsidRDefault="00781348">
      <w:pPr>
        <w:ind w:firstLine="709"/>
        <w:rPr>
          <w:color w:val="auto"/>
          <w:szCs w:val="24"/>
          <w:lang w:val="uk-UA"/>
        </w:rPr>
      </w:pPr>
      <w:r>
        <w:rPr>
          <w:color w:val="auto"/>
          <w:szCs w:val="24"/>
          <w:lang w:val="uk-UA"/>
        </w:rPr>
        <w:t xml:space="preserve">Механізмом розв’язання визначеної проблеми є прийняття розпорядження керівника Авдіївської міської військово-цивільної адміністрації Покровського району Донецької області “Про встановлення ставок та пільг із сплати податку на нерухоме майно, відмінне від земельної ділянки, на території </w:t>
      </w:r>
      <w:r>
        <w:rPr>
          <w:bCs/>
          <w:color w:val="auto"/>
          <w:lang w:val="uk-UA" w:eastAsia="ru-RU"/>
        </w:rPr>
        <w:t>Авдіївської міської територіальної громади</w:t>
      </w:r>
      <w:r>
        <w:rPr>
          <w:color w:val="auto"/>
          <w:szCs w:val="24"/>
          <w:lang w:val="uk-UA"/>
        </w:rPr>
        <w:t xml:space="preserve"> Покровського району Донецької області”.</w:t>
      </w:r>
    </w:p>
    <w:p w:rsidR="006B14C5" w:rsidRDefault="00781348">
      <w:pPr>
        <w:ind w:firstLine="709"/>
        <w:rPr>
          <w:color w:val="auto"/>
          <w:szCs w:val="24"/>
          <w:lang w:val="uk-UA"/>
        </w:rPr>
      </w:pPr>
      <w:r>
        <w:rPr>
          <w:color w:val="auto"/>
          <w:szCs w:val="24"/>
          <w:lang w:val="uk-UA"/>
        </w:rPr>
        <w:t>Запропонований нормативно-правовий акт відповідає принципам державної регуляторної політики, а саме: доцільності, адекватності, ефективності, збалансованості, передбачуваності, принципу прозорості та врахування громадської думки.</w:t>
      </w:r>
    </w:p>
    <w:p w:rsidR="006B14C5" w:rsidRDefault="006B14C5">
      <w:pPr>
        <w:pStyle w:val="Style21"/>
        <w:widowControl/>
        <w:spacing w:line="240" w:lineRule="auto"/>
        <w:ind w:firstLine="720"/>
        <w:rPr>
          <w:bCs/>
          <w:color w:val="auto"/>
        </w:rPr>
      </w:pPr>
    </w:p>
    <w:p w:rsidR="006B14C5" w:rsidRDefault="00781348">
      <w:pPr>
        <w:pStyle w:val="Style21"/>
        <w:widowControl/>
        <w:spacing w:line="240" w:lineRule="auto"/>
        <w:ind w:firstLine="720"/>
        <w:jc w:val="center"/>
        <w:rPr>
          <w:caps/>
          <w:color w:val="auto"/>
        </w:rPr>
      </w:pPr>
      <w:r>
        <w:rPr>
          <w:b/>
          <w:bCs/>
          <w:caps/>
          <w:color w:val="auto"/>
        </w:rPr>
        <w:t>VІ.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B14C5" w:rsidRDefault="006B14C5">
      <w:pPr>
        <w:ind w:firstLine="709"/>
        <w:rPr>
          <w:color w:val="auto"/>
          <w:szCs w:val="24"/>
          <w:lang w:val="uk-UA"/>
        </w:rPr>
      </w:pPr>
    </w:p>
    <w:p w:rsidR="006B14C5" w:rsidRDefault="00781348">
      <w:pPr>
        <w:ind w:firstLine="709"/>
        <w:rPr>
          <w:color w:val="auto"/>
          <w:szCs w:val="24"/>
          <w:lang w:val="uk-UA"/>
        </w:rPr>
      </w:pPr>
      <w:r>
        <w:rPr>
          <w:color w:val="auto"/>
          <w:szCs w:val="24"/>
          <w:lang w:val="uk-UA"/>
        </w:rPr>
        <w:t>Витрати на виконання вимог регуляторного акту для Авдіївської міської військово-цивільної адміністрації Покровського району Донецької області відсутні.</w:t>
      </w:r>
    </w:p>
    <w:p w:rsidR="006B14C5" w:rsidRDefault="00781348">
      <w:pPr>
        <w:ind w:firstLine="709"/>
        <w:rPr>
          <w:color w:val="auto"/>
          <w:szCs w:val="24"/>
          <w:lang w:val="uk-UA"/>
        </w:rPr>
      </w:pPr>
      <w:r>
        <w:rPr>
          <w:color w:val="auto"/>
          <w:szCs w:val="24"/>
          <w:lang w:val="uk-UA"/>
        </w:rPr>
        <w:t>Питома вага суб’єктів малого підприємництва у загальній кількості суб’єктів господарювання, на яких поширюється регулювання, становить 96 %, тому було здійснено розрахунок витрат на запровадження державного регулювання для суб’єктів малого підприємництва (Тест малого підприємництва), який наведено у Додатку 2.</w:t>
      </w:r>
    </w:p>
    <w:p w:rsidR="006B14C5" w:rsidRDefault="006B14C5">
      <w:pPr>
        <w:ind w:firstLine="709"/>
        <w:rPr>
          <w:color w:val="auto"/>
          <w:szCs w:val="24"/>
          <w:lang w:val="uk-UA"/>
        </w:rPr>
      </w:pPr>
    </w:p>
    <w:p w:rsidR="006B14C5" w:rsidRDefault="00781348">
      <w:pPr>
        <w:pStyle w:val="Style21"/>
        <w:widowControl/>
        <w:spacing w:line="240" w:lineRule="auto"/>
        <w:ind w:firstLine="720"/>
        <w:jc w:val="center"/>
        <w:rPr>
          <w:caps/>
          <w:color w:val="auto"/>
        </w:rPr>
      </w:pPr>
      <w:r>
        <w:rPr>
          <w:b/>
          <w:bCs/>
          <w:caps/>
          <w:color w:val="auto"/>
        </w:rPr>
        <w:t>VІ</w:t>
      </w:r>
      <w:r>
        <w:rPr>
          <w:rStyle w:val="FontStyle41"/>
          <w:caps/>
          <w:color w:val="auto"/>
          <w:sz w:val="24"/>
          <w:szCs w:val="24"/>
        </w:rPr>
        <w:t xml:space="preserve">І. Обґрунтування запропонованого строку дії </w:t>
      </w:r>
      <w:r w:rsidR="004E1781">
        <w:rPr>
          <w:rStyle w:val="FontStyle41"/>
          <w:caps/>
          <w:color w:val="auto"/>
          <w:sz w:val="24"/>
          <w:szCs w:val="24"/>
        </w:rPr>
        <w:br/>
      </w:r>
      <w:r>
        <w:rPr>
          <w:rStyle w:val="FontStyle41"/>
          <w:caps/>
          <w:color w:val="auto"/>
          <w:sz w:val="24"/>
          <w:szCs w:val="24"/>
        </w:rPr>
        <w:t>регуляторного акту</w:t>
      </w:r>
    </w:p>
    <w:p w:rsidR="006B14C5" w:rsidRDefault="006B14C5">
      <w:pPr>
        <w:ind w:firstLine="709"/>
        <w:rPr>
          <w:color w:val="auto"/>
          <w:szCs w:val="24"/>
          <w:lang w:val="uk-UA"/>
        </w:rPr>
      </w:pPr>
    </w:p>
    <w:p w:rsidR="006B14C5" w:rsidRDefault="00781348">
      <w:pPr>
        <w:ind w:firstLine="709"/>
        <w:rPr>
          <w:color w:val="auto"/>
          <w:szCs w:val="24"/>
          <w:lang w:val="uk-UA"/>
        </w:rPr>
      </w:pPr>
      <w:r>
        <w:rPr>
          <w:color w:val="auto"/>
          <w:szCs w:val="24"/>
          <w:lang w:val="uk-UA"/>
        </w:rPr>
        <w:t>Термін дії запропонованого регуляторного акту – необмежений.</w:t>
      </w:r>
    </w:p>
    <w:p w:rsidR="006B14C5" w:rsidRDefault="00781348">
      <w:pPr>
        <w:ind w:firstLine="709"/>
        <w:rPr>
          <w:color w:val="auto"/>
          <w:szCs w:val="24"/>
          <w:lang w:val="uk-UA"/>
        </w:rPr>
      </w:pPr>
      <w:r>
        <w:rPr>
          <w:color w:val="auto"/>
          <w:szCs w:val="24"/>
          <w:lang w:val="uk-UA"/>
        </w:rPr>
        <w:lastRenderedPageBreak/>
        <w:t>У випадку внесення змін до чинного законодавства, на підставі якого підготовлено цей регуляторний акт або в разі виникнення потреби за підсумками аналізу відстеження його результативності, регуляторний акт буде переглянутий із внесенням до нього відповідних змін.</w:t>
      </w:r>
    </w:p>
    <w:p w:rsidR="006B14C5" w:rsidRDefault="006B14C5">
      <w:pPr>
        <w:rPr>
          <w:color w:val="auto"/>
          <w:szCs w:val="24"/>
          <w:lang w:val="uk-UA"/>
        </w:rPr>
      </w:pPr>
    </w:p>
    <w:p w:rsidR="006B14C5" w:rsidRDefault="00781348">
      <w:pPr>
        <w:jc w:val="center"/>
        <w:rPr>
          <w:caps/>
          <w:color w:val="auto"/>
          <w:szCs w:val="24"/>
          <w:lang w:val="uk-UA"/>
        </w:rPr>
      </w:pPr>
      <w:r>
        <w:rPr>
          <w:rStyle w:val="rvts15"/>
          <w:b/>
          <w:caps/>
          <w:color w:val="auto"/>
          <w:szCs w:val="24"/>
          <w:lang w:val="uk-UA"/>
        </w:rPr>
        <w:t xml:space="preserve">VIII. Визначення показників результативності дії </w:t>
      </w:r>
      <w:r w:rsidR="004E1781">
        <w:rPr>
          <w:rStyle w:val="rvts15"/>
          <w:b/>
          <w:caps/>
          <w:color w:val="auto"/>
          <w:szCs w:val="24"/>
          <w:lang w:val="uk-UA"/>
        </w:rPr>
        <w:br/>
      </w:r>
      <w:r>
        <w:rPr>
          <w:rStyle w:val="rvts15"/>
          <w:b/>
          <w:caps/>
          <w:color w:val="auto"/>
          <w:szCs w:val="24"/>
          <w:lang w:val="uk-UA"/>
        </w:rPr>
        <w:t>регуляторного акту</w:t>
      </w:r>
    </w:p>
    <w:p w:rsidR="006B14C5" w:rsidRDefault="00781348">
      <w:pPr>
        <w:rPr>
          <w:rStyle w:val="rvts15"/>
          <w:color w:val="auto"/>
          <w:szCs w:val="24"/>
          <w:lang w:val="uk-UA"/>
        </w:rPr>
      </w:pPr>
      <w:r>
        <w:rPr>
          <w:rStyle w:val="rvts15"/>
          <w:color w:val="auto"/>
          <w:szCs w:val="24"/>
          <w:lang w:val="uk-UA"/>
        </w:rPr>
        <w:tab/>
      </w:r>
    </w:p>
    <w:p w:rsidR="006B14C5" w:rsidRDefault="00781348">
      <w:pPr>
        <w:ind w:firstLine="708"/>
        <w:rPr>
          <w:color w:val="auto"/>
          <w:szCs w:val="24"/>
          <w:lang w:val="uk-UA"/>
        </w:rPr>
      </w:pPr>
      <w:r>
        <w:rPr>
          <w:rStyle w:val="rvts15"/>
          <w:color w:val="auto"/>
          <w:szCs w:val="24"/>
          <w:lang w:val="uk-UA"/>
        </w:rPr>
        <w:t>Прогнозні значення показників результативності регуляторного акту наступні:</w:t>
      </w:r>
    </w:p>
    <w:tbl>
      <w:tblPr>
        <w:tblW w:w="9591" w:type="dxa"/>
        <w:tblInd w:w="37" w:type="dxa"/>
        <w:tblLayout w:type="fixed"/>
        <w:tblCellMar>
          <w:left w:w="98" w:type="dxa"/>
        </w:tblCellMar>
        <w:tblLook w:val="0000" w:firstRow="0" w:lastRow="0" w:firstColumn="0" w:lastColumn="0" w:noHBand="0" w:noVBand="0"/>
      </w:tblPr>
      <w:tblGrid>
        <w:gridCol w:w="630"/>
        <w:gridCol w:w="4139"/>
        <w:gridCol w:w="993"/>
        <w:gridCol w:w="3829"/>
      </w:tblGrid>
      <w:tr w:rsidR="006B14C5">
        <w:tc>
          <w:tcPr>
            <w:tcW w:w="629"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w:t>
            </w:r>
          </w:p>
        </w:tc>
        <w:tc>
          <w:tcPr>
            <w:tcW w:w="4139"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Назва показника</w:t>
            </w:r>
          </w:p>
        </w:tc>
        <w:tc>
          <w:tcPr>
            <w:tcW w:w="993"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Одиниця виміру</w:t>
            </w:r>
          </w:p>
        </w:tc>
        <w:tc>
          <w:tcPr>
            <w:tcW w:w="382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jc w:val="center"/>
              <w:rPr>
                <w:color w:val="auto"/>
                <w:sz w:val="20"/>
                <w:lang w:val="uk-UA"/>
              </w:rPr>
            </w:pPr>
            <w:r>
              <w:rPr>
                <w:color w:val="auto"/>
                <w:sz w:val="20"/>
                <w:lang w:val="uk-UA"/>
              </w:rPr>
              <w:t>Значення показника</w:t>
            </w:r>
          </w:p>
        </w:tc>
      </w:tr>
      <w:tr w:rsidR="006B14C5">
        <w:tc>
          <w:tcPr>
            <w:tcW w:w="629"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1</w:t>
            </w:r>
          </w:p>
        </w:tc>
        <w:tc>
          <w:tcPr>
            <w:tcW w:w="4139" w:type="dxa"/>
            <w:tcBorders>
              <w:top w:val="single" w:sz="4" w:space="0" w:color="000001"/>
              <w:left w:val="single" w:sz="4" w:space="0" w:color="000001"/>
              <w:bottom w:val="single" w:sz="4" w:space="0" w:color="000001"/>
            </w:tcBorders>
            <w:shd w:val="clear" w:color="auto" w:fill="auto"/>
          </w:tcPr>
          <w:p w:rsidR="006B14C5" w:rsidRDefault="00781348">
            <w:pPr>
              <w:pStyle w:val="aa"/>
              <w:widowControl w:val="0"/>
              <w:spacing w:after="0" w:line="240" w:lineRule="auto"/>
              <w:jc w:val="both"/>
              <w:rPr>
                <w:rFonts w:ascii="Times New Roman" w:hAnsi="Times New Roman" w:cs="Times New Roman"/>
                <w:color w:val="auto"/>
                <w:sz w:val="20"/>
                <w:szCs w:val="20"/>
              </w:rPr>
            </w:pPr>
            <w:r>
              <w:rPr>
                <w:rStyle w:val="rvts15"/>
                <w:rFonts w:ascii="Times New Roman" w:eastAsia="Times New Roman" w:hAnsi="Times New Roman" w:cs="Times New Roman"/>
                <w:color w:val="auto"/>
                <w:sz w:val="20"/>
                <w:szCs w:val="20"/>
                <w:lang w:bidi="ar-SA"/>
              </w:rPr>
              <w:t>Розмір надходжень до місцевого бюджету податку на нерухоме майно, відмінне від земельної ділянки</w:t>
            </w:r>
          </w:p>
        </w:tc>
        <w:tc>
          <w:tcPr>
            <w:tcW w:w="993"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грн.</w:t>
            </w:r>
          </w:p>
        </w:tc>
        <w:tc>
          <w:tcPr>
            <w:tcW w:w="382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jc w:val="center"/>
              <w:rPr>
                <w:color w:val="auto"/>
                <w:sz w:val="20"/>
                <w:lang w:val="uk-UA"/>
              </w:rPr>
            </w:pPr>
            <w:r>
              <w:rPr>
                <w:color w:val="auto"/>
                <w:sz w:val="20"/>
                <w:lang w:val="uk-UA"/>
              </w:rPr>
              <w:t>93000</w:t>
            </w:r>
          </w:p>
        </w:tc>
      </w:tr>
      <w:tr w:rsidR="006B14C5">
        <w:tc>
          <w:tcPr>
            <w:tcW w:w="629"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2</w:t>
            </w:r>
          </w:p>
        </w:tc>
        <w:tc>
          <w:tcPr>
            <w:tcW w:w="4139" w:type="dxa"/>
            <w:tcBorders>
              <w:top w:val="single" w:sz="4" w:space="0" w:color="000001"/>
              <w:left w:val="single" w:sz="4" w:space="0" w:color="000001"/>
              <w:bottom w:val="single" w:sz="4" w:space="0" w:color="000001"/>
            </w:tcBorders>
            <w:shd w:val="clear" w:color="auto" w:fill="auto"/>
          </w:tcPr>
          <w:p w:rsidR="006B14C5" w:rsidRDefault="00781348">
            <w:pPr>
              <w:rPr>
                <w:color w:val="auto"/>
                <w:sz w:val="20"/>
                <w:lang w:val="uk-UA"/>
              </w:rPr>
            </w:pPr>
            <w:r>
              <w:rPr>
                <w:color w:val="auto"/>
                <w:sz w:val="20"/>
                <w:lang w:val="uk-UA"/>
              </w:rPr>
              <w:t>Кількість суб’єктів господарювання, на яких поширюється дія акту</w:t>
            </w:r>
          </w:p>
        </w:tc>
        <w:tc>
          <w:tcPr>
            <w:tcW w:w="993"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од.</w:t>
            </w:r>
          </w:p>
        </w:tc>
        <w:tc>
          <w:tcPr>
            <w:tcW w:w="382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jc w:val="center"/>
              <w:rPr>
                <w:color w:val="auto"/>
                <w:sz w:val="20"/>
                <w:lang w:val="uk-UA"/>
              </w:rPr>
            </w:pPr>
            <w:r>
              <w:rPr>
                <w:color w:val="auto"/>
                <w:sz w:val="20"/>
                <w:lang w:val="uk-UA"/>
              </w:rPr>
              <w:t>70</w:t>
            </w:r>
          </w:p>
        </w:tc>
      </w:tr>
      <w:tr w:rsidR="006B14C5" w:rsidRPr="003B7BCC">
        <w:tc>
          <w:tcPr>
            <w:tcW w:w="629"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3</w:t>
            </w:r>
          </w:p>
        </w:tc>
        <w:tc>
          <w:tcPr>
            <w:tcW w:w="4139" w:type="dxa"/>
            <w:tcBorders>
              <w:top w:val="single" w:sz="4" w:space="0" w:color="000001"/>
              <w:left w:val="single" w:sz="4" w:space="0" w:color="000001"/>
              <w:bottom w:val="single" w:sz="4" w:space="0" w:color="000001"/>
            </w:tcBorders>
            <w:shd w:val="clear" w:color="auto" w:fill="auto"/>
          </w:tcPr>
          <w:p w:rsidR="006B14C5" w:rsidRDefault="00781348">
            <w:pPr>
              <w:rPr>
                <w:color w:val="auto"/>
                <w:sz w:val="20"/>
                <w:lang w:val="uk-UA"/>
              </w:rPr>
            </w:pPr>
            <w:r>
              <w:rPr>
                <w:color w:val="auto"/>
                <w:sz w:val="20"/>
                <w:lang w:val="uk-UA"/>
              </w:rPr>
              <w:t>Рівень поінформованості суб’єктів господарювання та/або фізичних осіб з основних положень акту</w:t>
            </w:r>
          </w:p>
        </w:tc>
        <w:tc>
          <w:tcPr>
            <w:tcW w:w="993" w:type="dxa"/>
            <w:tcBorders>
              <w:top w:val="single" w:sz="4" w:space="0" w:color="000001"/>
              <w:left w:val="single" w:sz="4" w:space="0" w:color="000001"/>
              <w:bottom w:val="single" w:sz="4" w:space="0" w:color="000001"/>
            </w:tcBorders>
            <w:shd w:val="clear" w:color="auto" w:fill="auto"/>
          </w:tcPr>
          <w:p w:rsidR="006B14C5" w:rsidRDefault="00781348">
            <w:pPr>
              <w:jc w:val="center"/>
              <w:rPr>
                <w:color w:val="auto"/>
                <w:sz w:val="20"/>
                <w:lang w:val="uk-UA"/>
              </w:rPr>
            </w:pPr>
            <w:r>
              <w:rPr>
                <w:color w:val="auto"/>
                <w:sz w:val="20"/>
                <w:lang w:val="uk-UA"/>
              </w:rPr>
              <w:t>%</w:t>
            </w:r>
          </w:p>
        </w:tc>
        <w:tc>
          <w:tcPr>
            <w:tcW w:w="3829" w:type="dxa"/>
            <w:tcBorders>
              <w:top w:val="single" w:sz="4" w:space="0" w:color="000001"/>
              <w:left w:val="single" w:sz="4" w:space="0" w:color="000001"/>
              <w:bottom w:val="single" w:sz="4" w:space="0" w:color="000001"/>
              <w:right w:val="single" w:sz="4" w:space="0" w:color="000001"/>
            </w:tcBorders>
            <w:shd w:val="clear" w:color="auto" w:fill="auto"/>
          </w:tcPr>
          <w:p w:rsidR="006B14C5" w:rsidRDefault="00781348">
            <w:pPr>
              <w:jc w:val="center"/>
              <w:rPr>
                <w:color w:val="auto"/>
                <w:sz w:val="20"/>
                <w:lang w:val="uk-UA"/>
              </w:rPr>
            </w:pPr>
            <w:r>
              <w:rPr>
                <w:color w:val="auto"/>
                <w:sz w:val="20"/>
                <w:lang w:val="uk-UA"/>
              </w:rPr>
              <w:t>100%</w:t>
            </w:r>
          </w:p>
          <w:p w:rsidR="006B14C5" w:rsidRDefault="00781348">
            <w:pPr>
              <w:rPr>
                <w:color w:val="auto"/>
                <w:sz w:val="20"/>
                <w:lang w:val="uk-UA"/>
              </w:rPr>
            </w:pPr>
            <w:r>
              <w:rPr>
                <w:color w:val="auto"/>
                <w:sz w:val="20"/>
                <w:lang w:val="uk-UA"/>
              </w:rPr>
              <w:t>Оприлюднення на офіційному веб-сайті Авдіївської міської військово-цивільної адміністрації Покровського району Донецької області та в газеті “Авдіївський вісник +”</w:t>
            </w:r>
          </w:p>
        </w:tc>
      </w:tr>
    </w:tbl>
    <w:p w:rsidR="006B14C5" w:rsidRPr="00E87AD9" w:rsidRDefault="006B14C5">
      <w:pPr>
        <w:rPr>
          <w:color w:val="auto"/>
          <w:szCs w:val="24"/>
          <w:lang w:val="uk-UA"/>
        </w:rPr>
      </w:pPr>
    </w:p>
    <w:p w:rsidR="006B14C5" w:rsidRPr="00E87AD9" w:rsidRDefault="006B14C5">
      <w:pPr>
        <w:ind w:firstLine="708"/>
        <w:jc w:val="center"/>
        <w:rPr>
          <w:rStyle w:val="rvts15"/>
          <w:caps/>
          <w:color w:val="auto"/>
          <w:szCs w:val="24"/>
          <w:lang w:val="uk-UA"/>
        </w:rPr>
      </w:pPr>
    </w:p>
    <w:p w:rsidR="006B14C5" w:rsidRDefault="00781348">
      <w:pPr>
        <w:ind w:firstLine="708"/>
        <w:jc w:val="center"/>
        <w:rPr>
          <w:caps/>
          <w:color w:val="auto"/>
          <w:szCs w:val="24"/>
          <w:lang w:val="uk-UA"/>
        </w:rPr>
      </w:pPr>
      <w:r>
        <w:rPr>
          <w:rStyle w:val="rvts15"/>
          <w:b/>
          <w:caps/>
          <w:color w:val="auto"/>
          <w:szCs w:val="24"/>
          <w:lang w:val="uk-UA"/>
        </w:rPr>
        <w:t>IX. Визначення заходів, за допомогою яких здійснюватиметься відстеження результативності дії регуляторного акту</w:t>
      </w:r>
    </w:p>
    <w:p w:rsidR="006B14C5" w:rsidRDefault="006B14C5">
      <w:pPr>
        <w:ind w:firstLine="708"/>
        <w:rPr>
          <w:color w:val="auto"/>
          <w:szCs w:val="24"/>
          <w:lang w:val="uk-UA"/>
        </w:rPr>
      </w:pPr>
    </w:p>
    <w:p w:rsidR="006B14C5" w:rsidRDefault="00781348">
      <w:pPr>
        <w:ind w:firstLine="708"/>
        <w:rPr>
          <w:color w:val="auto"/>
          <w:szCs w:val="24"/>
          <w:lang w:val="uk-UA"/>
        </w:rPr>
      </w:pPr>
      <w:r>
        <w:rPr>
          <w:color w:val="auto"/>
          <w:szCs w:val="24"/>
          <w:lang w:val="uk-UA"/>
        </w:rPr>
        <w:t>Відстеження результативності регуляторного акту буде здійснюватися на підставі статистичних показників.</w:t>
      </w:r>
    </w:p>
    <w:p w:rsidR="006B14C5" w:rsidRDefault="00781348">
      <w:pPr>
        <w:ind w:firstLine="709"/>
        <w:rPr>
          <w:color w:val="auto"/>
          <w:szCs w:val="24"/>
          <w:lang w:val="uk-UA"/>
        </w:rPr>
      </w:pPr>
      <w:r>
        <w:rPr>
          <w:color w:val="auto"/>
          <w:szCs w:val="24"/>
          <w:lang w:val="uk-UA"/>
        </w:rPr>
        <w:t>Строки проведення відстеження:</w:t>
      </w:r>
    </w:p>
    <w:p w:rsidR="006B14C5" w:rsidRDefault="00781348">
      <w:pPr>
        <w:numPr>
          <w:ilvl w:val="0"/>
          <w:numId w:val="2"/>
        </w:numPr>
        <w:rPr>
          <w:color w:val="auto"/>
          <w:szCs w:val="24"/>
          <w:lang w:val="uk-UA"/>
        </w:rPr>
      </w:pPr>
      <w:r>
        <w:rPr>
          <w:color w:val="auto"/>
          <w:szCs w:val="24"/>
          <w:lang w:val="uk-UA"/>
        </w:rPr>
        <w:t xml:space="preserve">базове відстеження – до набрання чинності розпорядження керівника Авдіївської міської військово-цивільної адміністрації Покровського району Донецької області “Про встановлення ставок та пільг із сплати податку на нерухоме майно, відмінне від земельної ділянки, на території </w:t>
      </w:r>
      <w:r>
        <w:rPr>
          <w:bCs/>
          <w:color w:val="auto"/>
          <w:lang w:val="uk-UA" w:eastAsia="ru-RU"/>
        </w:rPr>
        <w:t>Авдіївської міської територіальної громади</w:t>
      </w:r>
      <w:r>
        <w:rPr>
          <w:color w:val="auto"/>
          <w:szCs w:val="24"/>
          <w:lang w:val="uk-UA"/>
        </w:rPr>
        <w:t xml:space="preserve"> Покровського району Донецької області”;</w:t>
      </w:r>
    </w:p>
    <w:p w:rsidR="006B14C5" w:rsidRDefault="00781348">
      <w:pPr>
        <w:numPr>
          <w:ilvl w:val="0"/>
          <w:numId w:val="2"/>
        </w:numPr>
        <w:rPr>
          <w:color w:val="auto"/>
          <w:szCs w:val="24"/>
          <w:lang w:val="uk-UA"/>
        </w:rPr>
      </w:pPr>
      <w:r>
        <w:rPr>
          <w:color w:val="auto"/>
          <w:szCs w:val="24"/>
          <w:lang w:val="uk-UA"/>
        </w:rPr>
        <w:t xml:space="preserve">повторне відстеження – через рік після набрання чинності розпорядження керівника Авдіївської міської військово-цивільної адміністрації Покровського району Донецької області “Про встановлення ставок та пільг із сплати податку на нерухоме майно, відмінне від земельної ділянки, на території </w:t>
      </w:r>
      <w:r>
        <w:rPr>
          <w:bCs/>
          <w:color w:val="auto"/>
          <w:szCs w:val="24"/>
          <w:lang w:val="uk-UA" w:eastAsia="ru-RU"/>
        </w:rPr>
        <w:t>Авдіївської міської територіальної громади</w:t>
      </w:r>
      <w:r>
        <w:rPr>
          <w:color w:val="auto"/>
          <w:szCs w:val="24"/>
          <w:lang w:val="uk-UA"/>
        </w:rPr>
        <w:t xml:space="preserve"> Покровського району Донецької області”;</w:t>
      </w:r>
    </w:p>
    <w:p w:rsidR="006B14C5" w:rsidRDefault="00781348">
      <w:pPr>
        <w:numPr>
          <w:ilvl w:val="0"/>
          <w:numId w:val="2"/>
        </w:numPr>
        <w:rPr>
          <w:color w:val="auto"/>
          <w:szCs w:val="24"/>
          <w:lang w:val="uk-UA"/>
        </w:rPr>
      </w:pPr>
      <w:r>
        <w:rPr>
          <w:color w:val="auto"/>
          <w:szCs w:val="24"/>
          <w:lang w:val="uk-UA"/>
        </w:rPr>
        <w:t>періодичне відстеження – раз на три роки починаючи з дня виконання заходів з повторного відстеження.</w:t>
      </w:r>
    </w:p>
    <w:p w:rsidR="006B14C5" w:rsidRDefault="006B14C5">
      <w:pPr>
        <w:ind w:firstLine="709"/>
        <w:rPr>
          <w:color w:val="auto"/>
          <w:szCs w:val="24"/>
          <w:lang w:val="uk-UA"/>
        </w:rPr>
      </w:pPr>
    </w:p>
    <w:p w:rsidR="006B14C5" w:rsidRDefault="00781348">
      <w:pPr>
        <w:ind w:firstLine="709"/>
        <w:rPr>
          <w:color w:val="auto"/>
          <w:szCs w:val="24"/>
          <w:lang w:val="uk-UA"/>
        </w:rPr>
      </w:pPr>
      <w:r>
        <w:rPr>
          <w:color w:val="auto"/>
          <w:szCs w:val="24"/>
          <w:lang w:val="uk-UA"/>
        </w:rPr>
        <w:t>Аналіз регуляторного впливу розроблено відділом архітектури та містобудування Авдіївської міської військово-цивільної адміністрації Покровського району Донецької області.</w:t>
      </w:r>
    </w:p>
    <w:p w:rsidR="006B14C5" w:rsidRDefault="006B14C5">
      <w:pPr>
        <w:tabs>
          <w:tab w:val="left" w:pos="742"/>
        </w:tabs>
        <w:rPr>
          <w:color w:val="auto"/>
          <w:szCs w:val="24"/>
          <w:lang w:val="uk-UA"/>
        </w:rPr>
      </w:pPr>
    </w:p>
    <w:p w:rsidR="006B14C5" w:rsidRDefault="006B14C5">
      <w:pPr>
        <w:tabs>
          <w:tab w:val="left" w:pos="742"/>
        </w:tabs>
        <w:rPr>
          <w:color w:val="auto"/>
          <w:szCs w:val="24"/>
          <w:lang w:val="uk-UA"/>
        </w:rPr>
      </w:pPr>
    </w:p>
    <w:p w:rsidR="006B14C5" w:rsidRDefault="006B14C5">
      <w:pPr>
        <w:tabs>
          <w:tab w:val="left" w:pos="742"/>
        </w:tabs>
        <w:rPr>
          <w:color w:val="auto"/>
          <w:szCs w:val="24"/>
          <w:lang w:val="uk-UA"/>
        </w:rPr>
      </w:pPr>
    </w:p>
    <w:p w:rsidR="006B14C5" w:rsidRDefault="006B14C5">
      <w:pPr>
        <w:pStyle w:val="aa"/>
        <w:spacing w:after="0" w:line="240" w:lineRule="auto"/>
        <w:jc w:val="both"/>
        <w:rPr>
          <w:rFonts w:ascii="Times New Roman" w:hAnsi="Times New Roman" w:cs="Times New Roman"/>
          <w:bCs/>
          <w:color w:val="auto"/>
          <w:sz w:val="24"/>
        </w:rPr>
      </w:pPr>
    </w:p>
    <w:p w:rsidR="006B14C5" w:rsidRDefault="00781348">
      <w:pPr>
        <w:widowControl/>
        <w:suppressAutoHyphens w:val="0"/>
        <w:overflowPunct/>
        <w:jc w:val="left"/>
        <w:textAlignment w:val="auto"/>
        <w:rPr>
          <w:rFonts w:eastAsia="WenQuanYi Zen Hei;Times New Rom"/>
          <w:bCs/>
          <w:color w:val="auto"/>
          <w:szCs w:val="24"/>
          <w:lang w:val="uk-UA" w:bidi="hi-IN"/>
        </w:rPr>
      </w:pPr>
      <w:r w:rsidRPr="00327263">
        <w:rPr>
          <w:lang w:val="uk-UA"/>
        </w:rPr>
        <w:br w:type="page"/>
      </w:r>
    </w:p>
    <w:p w:rsidR="006B14C5" w:rsidRDefault="00781348">
      <w:pPr>
        <w:pStyle w:val="aa"/>
        <w:spacing w:after="0" w:line="240" w:lineRule="auto"/>
        <w:jc w:val="right"/>
        <w:rPr>
          <w:rFonts w:ascii="Times New Roman" w:hAnsi="Times New Roman" w:cs="Times New Roman"/>
          <w:bCs/>
          <w:color w:val="auto"/>
          <w:sz w:val="24"/>
        </w:rPr>
      </w:pPr>
      <w:r>
        <w:rPr>
          <w:rFonts w:ascii="Times New Roman" w:hAnsi="Times New Roman" w:cs="Times New Roman"/>
          <w:bCs/>
          <w:color w:val="auto"/>
          <w:sz w:val="24"/>
        </w:rPr>
        <w:lastRenderedPageBreak/>
        <w:t>Додаток 1</w:t>
      </w:r>
    </w:p>
    <w:p w:rsidR="006B14C5" w:rsidRDefault="00781348">
      <w:pPr>
        <w:widowControl/>
        <w:suppressAutoHyphens w:val="0"/>
        <w:overflowPunct/>
        <w:jc w:val="center"/>
        <w:textAlignment w:val="auto"/>
        <w:rPr>
          <w:color w:val="auto"/>
          <w:szCs w:val="24"/>
          <w:lang w:val="uk-UA" w:eastAsia="ru-RU"/>
        </w:rPr>
      </w:pPr>
      <w:r>
        <w:rPr>
          <w:color w:val="auto"/>
          <w:szCs w:val="24"/>
          <w:lang w:val="uk-UA" w:eastAsia="ru-RU"/>
        </w:rPr>
        <w:t>Витрати</w:t>
      </w:r>
    </w:p>
    <w:p w:rsidR="006B14C5" w:rsidRDefault="00781348">
      <w:pPr>
        <w:widowControl/>
        <w:suppressAutoHyphens w:val="0"/>
        <w:overflowPunct/>
        <w:jc w:val="center"/>
        <w:textAlignment w:val="auto"/>
        <w:rPr>
          <w:color w:val="auto"/>
          <w:szCs w:val="24"/>
          <w:lang w:val="uk-UA" w:eastAsia="ru-RU"/>
        </w:rPr>
      </w:pPr>
      <w:r>
        <w:rPr>
          <w:color w:val="auto"/>
          <w:szCs w:val="24"/>
          <w:lang w:val="uk-UA" w:eastAsia="ru-RU"/>
        </w:rPr>
        <w:t>на одного суб’єкта господарювання великого і середнього підприємництва, які виникають внаслідок дії регуляторного акту</w:t>
      </w:r>
    </w:p>
    <w:p w:rsidR="006B14C5" w:rsidRDefault="006B14C5">
      <w:pPr>
        <w:widowControl/>
        <w:suppressAutoHyphens w:val="0"/>
        <w:overflowPunct/>
        <w:jc w:val="left"/>
        <w:textAlignment w:val="auto"/>
        <w:rPr>
          <w:color w:val="auto"/>
          <w:szCs w:val="24"/>
          <w:lang w:val="uk-UA" w:eastAsia="ru-RU"/>
        </w:rPr>
      </w:pPr>
    </w:p>
    <w:tbl>
      <w:tblPr>
        <w:tblStyle w:val="af7"/>
        <w:tblW w:w="9628" w:type="dxa"/>
        <w:tblLayout w:type="fixed"/>
        <w:tblLook w:val="04A0" w:firstRow="1" w:lastRow="0" w:firstColumn="1" w:lastColumn="0" w:noHBand="0" w:noVBand="1"/>
      </w:tblPr>
      <w:tblGrid>
        <w:gridCol w:w="847"/>
        <w:gridCol w:w="3968"/>
        <w:gridCol w:w="2407"/>
        <w:gridCol w:w="2406"/>
      </w:tblGrid>
      <w:tr w:rsidR="006B14C5">
        <w:tc>
          <w:tcPr>
            <w:tcW w:w="84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Поряд</w:t>
            </w:r>
          </w:p>
          <w:p w:rsidR="006B14C5" w:rsidRDefault="00781348">
            <w:pPr>
              <w:suppressAutoHyphens w:val="0"/>
              <w:overflowPunct/>
              <w:jc w:val="center"/>
              <w:textAlignment w:val="auto"/>
              <w:rPr>
                <w:color w:val="auto"/>
                <w:sz w:val="20"/>
                <w:lang w:val="uk-UA" w:eastAsia="ru-RU"/>
              </w:rPr>
            </w:pPr>
            <w:proofErr w:type="spellStart"/>
            <w:r>
              <w:rPr>
                <w:color w:val="auto"/>
                <w:sz w:val="20"/>
                <w:lang w:val="uk-UA" w:eastAsia="ru-RU"/>
              </w:rPr>
              <w:t>ковий</w:t>
            </w:r>
            <w:proofErr w:type="spellEnd"/>
            <w:r>
              <w:rPr>
                <w:color w:val="auto"/>
                <w:sz w:val="20"/>
                <w:lang w:val="uk-UA" w:eastAsia="ru-RU"/>
              </w:rPr>
              <w:t xml:space="preserve"> номер</w:t>
            </w:r>
          </w:p>
        </w:tc>
        <w:tc>
          <w:tcPr>
            <w:tcW w:w="3968"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Витрати</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За перший рік</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За п’ять років</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1</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2</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Податки та збори (зміна розміру податків/зборів, виникнення необхідності у сплаті податків/зборів),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p w:rsidR="006B14C5" w:rsidRDefault="006B14C5">
            <w:pPr>
              <w:suppressAutoHyphens w:val="0"/>
              <w:overflowPunct/>
              <w:jc w:val="center"/>
              <w:textAlignment w:val="auto"/>
              <w:rPr>
                <w:color w:val="auto"/>
                <w:sz w:val="20"/>
                <w:lang w:val="uk-UA" w:eastAsia="ru-RU"/>
              </w:rPr>
            </w:pPr>
          </w:p>
          <w:p w:rsidR="006B14C5" w:rsidRDefault="006B14C5">
            <w:pPr>
              <w:suppressAutoHyphens w:val="0"/>
              <w:overflowPunct/>
              <w:jc w:val="center"/>
              <w:textAlignment w:val="auto"/>
              <w:rPr>
                <w:color w:val="auto"/>
                <w:sz w:val="16"/>
                <w:szCs w:val="16"/>
                <w:lang w:val="uk-UA" w:eastAsia="ru-RU"/>
              </w:rPr>
            </w:pP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3</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пов’язані із веденням обліку, підготовкою та поданням звітності державним органам,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181</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905</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4</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181</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905</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5</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6</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оборотні активи (матеріали, канцелярські товари тощо),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10</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50</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7</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 xml:space="preserve">Витрати, пов’язані із </w:t>
            </w:r>
            <w:proofErr w:type="spellStart"/>
            <w:r>
              <w:rPr>
                <w:color w:val="auto"/>
                <w:sz w:val="20"/>
                <w:lang w:val="uk-UA" w:eastAsia="ru-RU"/>
              </w:rPr>
              <w:t>наймом</w:t>
            </w:r>
            <w:proofErr w:type="spellEnd"/>
            <w:r>
              <w:rPr>
                <w:color w:val="auto"/>
                <w:sz w:val="20"/>
                <w:lang w:val="uk-UA" w:eastAsia="ru-RU"/>
              </w:rPr>
              <w:t xml:space="preserve"> додаткового персоналу,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8</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Інше (уточнити),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9</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РАЗОМ (сума рядків: 1 + 2 + 3 + 4 + 5 + 6 + 7 + 8),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191</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955</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10</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Кількість суб’єктів господарювання великого та середнього підприємництва, на яких буде поширено регулювання, одиниць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3</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3</w:t>
            </w:r>
          </w:p>
        </w:tc>
      </w:tr>
      <w:tr w:rsidR="006B14C5">
        <w:tc>
          <w:tcPr>
            <w:tcW w:w="8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11</w:t>
            </w:r>
          </w:p>
        </w:tc>
        <w:tc>
          <w:tcPr>
            <w:tcW w:w="396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40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573</w:t>
            </w:r>
          </w:p>
        </w:tc>
        <w:tc>
          <w:tcPr>
            <w:tcW w:w="240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2865</w:t>
            </w:r>
          </w:p>
        </w:tc>
      </w:tr>
    </w:tbl>
    <w:p w:rsidR="006B14C5" w:rsidRDefault="006B14C5">
      <w:pPr>
        <w:widowControl/>
        <w:suppressAutoHyphens w:val="0"/>
        <w:overflowPunct/>
        <w:jc w:val="left"/>
        <w:textAlignment w:val="auto"/>
        <w:rPr>
          <w:color w:val="auto"/>
          <w:szCs w:val="24"/>
          <w:lang w:val="uk-UA" w:eastAsia="ru-RU"/>
        </w:rPr>
      </w:pPr>
    </w:p>
    <w:p w:rsidR="006B14C5" w:rsidRDefault="00781348">
      <w:pPr>
        <w:widowControl/>
        <w:suppressAutoHyphens w:val="0"/>
        <w:overflowPunct/>
        <w:jc w:val="left"/>
        <w:textAlignment w:val="auto"/>
        <w:rPr>
          <w:color w:val="auto"/>
          <w:szCs w:val="24"/>
          <w:lang w:val="uk-UA" w:eastAsia="ru-RU"/>
        </w:rPr>
      </w:pPr>
      <w:bookmarkStart w:id="1" w:name="n179"/>
      <w:bookmarkEnd w:id="1"/>
      <w:r>
        <w:rPr>
          <w:color w:val="auto"/>
          <w:szCs w:val="24"/>
          <w:lang w:val="uk-UA" w:eastAsia="ru-RU"/>
        </w:rPr>
        <w:t>Розрахунок відповідних витрат на одного суб’єкта господарювання</w:t>
      </w:r>
    </w:p>
    <w:tbl>
      <w:tblPr>
        <w:tblStyle w:val="af7"/>
        <w:tblW w:w="9628" w:type="dxa"/>
        <w:tblLayout w:type="fixed"/>
        <w:tblLook w:val="04A0" w:firstRow="1" w:lastRow="0" w:firstColumn="1" w:lastColumn="0" w:noHBand="0" w:noVBand="1"/>
      </w:tblPr>
      <w:tblGrid>
        <w:gridCol w:w="5099"/>
        <w:gridCol w:w="1275"/>
        <w:gridCol w:w="1560"/>
        <w:gridCol w:w="1694"/>
      </w:tblGrid>
      <w:tr w:rsidR="006B14C5">
        <w:tc>
          <w:tcPr>
            <w:tcW w:w="509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Вид витрат</w:t>
            </w:r>
          </w:p>
        </w:tc>
        <w:tc>
          <w:tcPr>
            <w:tcW w:w="1275"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У перший рік</w:t>
            </w:r>
          </w:p>
        </w:tc>
        <w:tc>
          <w:tcPr>
            <w:tcW w:w="1560"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Періодичні (за рік)</w:t>
            </w:r>
          </w:p>
        </w:tc>
        <w:tc>
          <w:tcPr>
            <w:tcW w:w="1694"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за п’ять років</w:t>
            </w:r>
          </w:p>
        </w:tc>
      </w:tr>
      <w:tr w:rsidR="006B14C5">
        <w:tc>
          <w:tcPr>
            <w:tcW w:w="509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275"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p w:rsidR="006B14C5" w:rsidRDefault="00781348">
            <w:pPr>
              <w:suppressAutoHyphens w:val="0"/>
              <w:overflowPunct/>
              <w:jc w:val="center"/>
              <w:textAlignment w:val="auto"/>
              <w:rPr>
                <w:color w:val="auto"/>
                <w:sz w:val="16"/>
                <w:szCs w:val="16"/>
                <w:lang w:val="uk-UA" w:eastAsia="ru-RU"/>
              </w:rPr>
            </w:pPr>
            <w:r>
              <w:rPr>
                <w:color w:val="auto"/>
                <w:sz w:val="16"/>
                <w:szCs w:val="16"/>
                <w:lang w:val="uk-UA" w:eastAsia="ru-RU"/>
              </w:rPr>
              <w:t>регуляторний акт не передбачає таких витрат</w:t>
            </w:r>
          </w:p>
        </w:tc>
        <w:tc>
          <w:tcPr>
            <w:tcW w:w="1560"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1694"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r>
    </w:tbl>
    <w:p w:rsidR="006B14C5" w:rsidRDefault="006B14C5">
      <w:pPr>
        <w:widowControl/>
        <w:suppressAutoHyphens w:val="0"/>
        <w:overflowPunct/>
        <w:jc w:val="left"/>
        <w:textAlignment w:val="auto"/>
        <w:rPr>
          <w:color w:val="auto"/>
          <w:szCs w:val="24"/>
          <w:lang w:val="uk-UA" w:eastAsia="ru-RU"/>
        </w:rPr>
      </w:pPr>
    </w:p>
    <w:tbl>
      <w:tblPr>
        <w:tblStyle w:val="af7"/>
        <w:tblW w:w="9628" w:type="dxa"/>
        <w:tblLayout w:type="fixed"/>
        <w:tblLook w:val="04A0" w:firstRow="1" w:lastRow="0" w:firstColumn="1" w:lastColumn="0" w:noHBand="0" w:noVBand="1"/>
      </w:tblPr>
      <w:tblGrid>
        <w:gridCol w:w="4244"/>
        <w:gridCol w:w="3546"/>
        <w:gridCol w:w="1838"/>
      </w:tblGrid>
      <w:tr w:rsidR="006B14C5">
        <w:tc>
          <w:tcPr>
            <w:tcW w:w="4244"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Вид витрат</w:t>
            </w:r>
          </w:p>
        </w:tc>
        <w:tc>
          <w:tcPr>
            <w:tcW w:w="354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сплату податків та зборів (змінених/нововведених) (за рік)</w:t>
            </w:r>
          </w:p>
        </w:tc>
        <w:tc>
          <w:tcPr>
            <w:tcW w:w="1838"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за п’ять років</w:t>
            </w:r>
          </w:p>
        </w:tc>
      </w:tr>
      <w:tr w:rsidR="006B14C5">
        <w:tc>
          <w:tcPr>
            <w:tcW w:w="4244"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Податки та збори (зміна розміру податків/зборів, виникнення необхідності у сплаті податків/зборів)</w:t>
            </w:r>
          </w:p>
        </w:tc>
        <w:tc>
          <w:tcPr>
            <w:tcW w:w="354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p w:rsidR="006B14C5" w:rsidRDefault="00781348">
            <w:pPr>
              <w:suppressAutoHyphens w:val="0"/>
              <w:overflowPunct/>
              <w:jc w:val="left"/>
              <w:textAlignment w:val="auto"/>
              <w:rPr>
                <w:color w:val="auto"/>
                <w:sz w:val="20"/>
                <w:lang w:val="uk-UA" w:eastAsia="ru-RU"/>
              </w:rPr>
            </w:pPr>
            <w:r>
              <w:rPr>
                <w:color w:val="auto"/>
                <w:sz w:val="16"/>
                <w:szCs w:val="16"/>
                <w:lang w:val="uk-UA" w:eastAsia="ru-RU"/>
              </w:rPr>
              <w:t>ставка податку та перелік платників не змінюється</w:t>
            </w:r>
          </w:p>
        </w:tc>
        <w:tc>
          <w:tcPr>
            <w:tcW w:w="1838"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r>
    </w:tbl>
    <w:p w:rsidR="006B14C5" w:rsidRDefault="006B14C5">
      <w:pPr>
        <w:widowControl/>
        <w:suppressAutoHyphens w:val="0"/>
        <w:overflowPunct/>
        <w:jc w:val="left"/>
        <w:textAlignment w:val="auto"/>
        <w:rPr>
          <w:color w:val="auto"/>
          <w:sz w:val="20"/>
          <w:lang w:val="uk-UA" w:eastAsia="ru-RU"/>
        </w:rPr>
      </w:pPr>
    </w:p>
    <w:tbl>
      <w:tblPr>
        <w:tblStyle w:val="af7"/>
        <w:tblW w:w="9628" w:type="dxa"/>
        <w:tblLayout w:type="fixed"/>
        <w:tblLook w:val="04A0" w:firstRow="1" w:lastRow="0" w:firstColumn="1" w:lastColumn="0" w:noHBand="0" w:noVBand="1"/>
      </w:tblPr>
      <w:tblGrid>
        <w:gridCol w:w="2689"/>
        <w:gridCol w:w="2409"/>
        <w:gridCol w:w="2123"/>
        <w:gridCol w:w="1275"/>
        <w:gridCol w:w="1132"/>
      </w:tblGrid>
      <w:tr w:rsidR="006B14C5">
        <w:tc>
          <w:tcPr>
            <w:tcW w:w="2689"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lastRenderedPageBreak/>
              <w:t>Вид витрат</w:t>
            </w:r>
          </w:p>
        </w:tc>
        <w:tc>
          <w:tcPr>
            <w:tcW w:w="2409"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ведення обліку, підготовку та подання звітності (за рік)</w:t>
            </w:r>
          </w:p>
        </w:tc>
        <w:tc>
          <w:tcPr>
            <w:tcW w:w="2123"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оплату штрафних санкцій за рік</w:t>
            </w:r>
          </w:p>
        </w:tc>
        <w:tc>
          <w:tcPr>
            <w:tcW w:w="1275"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Разом за рік</w:t>
            </w:r>
          </w:p>
        </w:tc>
        <w:tc>
          <w:tcPr>
            <w:tcW w:w="1132"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за п’ять років</w:t>
            </w:r>
          </w:p>
        </w:tc>
      </w:tr>
      <w:tr w:rsidR="006B14C5">
        <w:tc>
          <w:tcPr>
            <w:tcW w:w="2689"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пов’язані із веденням обліку, підготовкою та поданням звітності державним органам (витрати часу персоналу)</w:t>
            </w:r>
          </w:p>
        </w:tc>
        <w:tc>
          <w:tcPr>
            <w:tcW w:w="2409"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181</w:t>
            </w:r>
          </w:p>
          <w:p w:rsidR="006B14C5" w:rsidRDefault="006B14C5">
            <w:pPr>
              <w:suppressAutoHyphens w:val="0"/>
              <w:overflowPunct/>
              <w:jc w:val="left"/>
              <w:textAlignment w:val="auto"/>
              <w:rPr>
                <w:color w:val="auto"/>
                <w:sz w:val="20"/>
                <w:lang w:val="uk-UA" w:eastAsia="ru-RU"/>
              </w:rPr>
            </w:pPr>
          </w:p>
          <w:p w:rsidR="006B14C5" w:rsidRDefault="00781348">
            <w:pPr>
              <w:suppressAutoHyphens w:val="0"/>
              <w:overflowPunct/>
              <w:jc w:val="left"/>
              <w:textAlignment w:val="auto"/>
              <w:rPr>
                <w:color w:val="auto"/>
                <w:sz w:val="16"/>
                <w:szCs w:val="16"/>
                <w:lang w:val="uk-UA" w:eastAsia="ru-RU"/>
              </w:rPr>
            </w:pPr>
            <w:r>
              <w:rPr>
                <w:color w:val="auto"/>
                <w:sz w:val="16"/>
                <w:szCs w:val="16"/>
                <w:lang w:val="uk-UA" w:eastAsia="ru-RU"/>
              </w:rPr>
              <w:t>13780 (середня зарплата за січень 2021) / 19 / 8 * 2 = 181, де:</w:t>
            </w:r>
          </w:p>
          <w:p w:rsidR="006B14C5" w:rsidRDefault="00781348">
            <w:pPr>
              <w:suppressAutoHyphens w:val="0"/>
              <w:overflowPunct/>
              <w:jc w:val="left"/>
              <w:textAlignment w:val="auto"/>
              <w:rPr>
                <w:color w:val="auto"/>
                <w:sz w:val="20"/>
                <w:lang w:val="uk-UA" w:eastAsia="ru-RU"/>
              </w:rPr>
            </w:pPr>
            <w:r>
              <w:rPr>
                <w:color w:val="auto"/>
                <w:sz w:val="16"/>
                <w:szCs w:val="16"/>
                <w:lang w:val="uk-UA" w:eastAsia="ru-RU"/>
              </w:rPr>
              <w:t>19 – кількість робочих днів у січні, 8 – кількість годин у робочому дні, 2 – час для підготовки та подання звіту</w:t>
            </w:r>
          </w:p>
        </w:tc>
        <w:tc>
          <w:tcPr>
            <w:tcW w:w="2123"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1275"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181</w:t>
            </w:r>
          </w:p>
        </w:tc>
        <w:tc>
          <w:tcPr>
            <w:tcW w:w="1132"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905</w:t>
            </w:r>
          </w:p>
        </w:tc>
      </w:tr>
    </w:tbl>
    <w:p w:rsidR="006B14C5" w:rsidRPr="005B6151" w:rsidRDefault="00781348" w:rsidP="005B6151">
      <w:pPr>
        <w:widowControl/>
        <w:suppressAutoHyphens w:val="0"/>
        <w:overflowPunct/>
        <w:textAlignment w:val="auto"/>
        <w:rPr>
          <w:color w:val="auto"/>
          <w:sz w:val="20"/>
          <w:lang w:val="uk-UA" w:eastAsia="ru-RU"/>
        </w:rPr>
      </w:pPr>
      <w:bookmarkStart w:id="2" w:name="n183"/>
      <w:bookmarkEnd w:id="2"/>
      <w:r w:rsidRPr="005B6151">
        <w:rPr>
          <w:color w:val="auto"/>
          <w:sz w:val="20"/>
          <w:lang w:val="uk-UA" w:eastAsia="ru-RU"/>
        </w:rPr>
        <w:t xml:space="preserve">_________ </w:t>
      </w:r>
      <w:r w:rsidRPr="005B6151">
        <w:rPr>
          <w:color w:val="auto"/>
          <w:sz w:val="20"/>
          <w:lang w:val="uk-UA" w:eastAsia="ru-RU"/>
        </w:rPr>
        <w:b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6B14C5" w:rsidRDefault="006B14C5">
      <w:pPr>
        <w:widowControl/>
        <w:suppressAutoHyphens w:val="0"/>
        <w:overflowPunct/>
        <w:jc w:val="left"/>
        <w:textAlignment w:val="auto"/>
        <w:rPr>
          <w:color w:val="auto"/>
          <w:szCs w:val="24"/>
          <w:lang w:val="uk-UA" w:eastAsia="ru-RU"/>
        </w:rPr>
      </w:pPr>
    </w:p>
    <w:tbl>
      <w:tblPr>
        <w:tblStyle w:val="af7"/>
        <w:tblW w:w="9628" w:type="dxa"/>
        <w:tblLayout w:type="fixed"/>
        <w:tblLook w:val="04A0" w:firstRow="1" w:lastRow="0" w:firstColumn="1" w:lastColumn="0" w:noHBand="0" w:noVBand="1"/>
      </w:tblPr>
      <w:tblGrid>
        <w:gridCol w:w="2689"/>
        <w:gridCol w:w="2409"/>
        <w:gridCol w:w="2123"/>
        <w:gridCol w:w="1275"/>
        <w:gridCol w:w="1132"/>
      </w:tblGrid>
      <w:tr w:rsidR="006B14C5">
        <w:tc>
          <w:tcPr>
            <w:tcW w:w="2689"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Вид витрат</w:t>
            </w:r>
          </w:p>
        </w:tc>
        <w:tc>
          <w:tcPr>
            <w:tcW w:w="2409"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адміністрування заходів державного нагляду (контролю) (за рік)</w:t>
            </w:r>
          </w:p>
        </w:tc>
        <w:tc>
          <w:tcPr>
            <w:tcW w:w="2123" w:type="dxa"/>
            <w:vAlign w:val="center"/>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оплату штрафних санкцій та усунення виявлених порушень (за рік)</w:t>
            </w:r>
          </w:p>
        </w:tc>
        <w:tc>
          <w:tcPr>
            <w:tcW w:w="1275"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Разом за рік</w:t>
            </w:r>
          </w:p>
        </w:tc>
        <w:tc>
          <w:tcPr>
            <w:tcW w:w="1132"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за п’ять років</w:t>
            </w:r>
          </w:p>
        </w:tc>
      </w:tr>
      <w:tr w:rsidR="006B14C5">
        <w:tc>
          <w:tcPr>
            <w:tcW w:w="2689"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409"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181</w:t>
            </w:r>
          </w:p>
          <w:p w:rsidR="006B14C5" w:rsidRDefault="006B14C5">
            <w:pPr>
              <w:suppressAutoHyphens w:val="0"/>
              <w:overflowPunct/>
              <w:jc w:val="left"/>
              <w:textAlignment w:val="auto"/>
              <w:rPr>
                <w:color w:val="auto"/>
                <w:sz w:val="20"/>
                <w:lang w:val="uk-UA" w:eastAsia="ru-RU"/>
              </w:rPr>
            </w:pPr>
          </w:p>
          <w:p w:rsidR="006B14C5" w:rsidRDefault="00781348">
            <w:pPr>
              <w:suppressAutoHyphens w:val="0"/>
              <w:overflowPunct/>
              <w:jc w:val="left"/>
              <w:textAlignment w:val="auto"/>
              <w:rPr>
                <w:color w:val="auto"/>
                <w:sz w:val="16"/>
                <w:szCs w:val="16"/>
                <w:lang w:val="uk-UA" w:eastAsia="ru-RU"/>
              </w:rPr>
            </w:pPr>
            <w:r>
              <w:rPr>
                <w:color w:val="auto"/>
                <w:sz w:val="16"/>
                <w:szCs w:val="16"/>
                <w:lang w:val="uk-UA" w:eastAsia="ru-RU"/>
              </w:rPr>
              <w:t>13780 (середня зарплата за січень 2021) / 19 / 8 * 2 = 181, де:</w:t>
            </w:r>
          </w:p>
          <w:p w:rsidR="006B14C5" w:rsidRDefault="00781348">
            <w:pPr>
              <w:suppressAutoHyphens w:val="0"/>
              <w:overflowPunct/>
              <w:jc w:val="left"/>
              <w:textAlignment w:val="auto"/>
              <w:rPr>
                <w:color w:val="auto"/>
                <w:sz w:val="20"/>
                <w:lang w:val="uk-UA" w:eastAsia="ru-RU"/>
              </w:rPr>
            </w:pPr>
            <w:r>
              <w:rPr>
                <w:color w:val="auto"/>
                <w:sz w:val="16"/>
                <w:szCs w:val="16"/>
                <w:lang w:val="uk-UA" w:eastAsia="ru-RU"/>
              </w:rPr>
              <w:t>19 – кількість робочих днів у січні, 8 – кількість годин у робочому дні, 2 – час на адміністрування</w:t>
            </w:r>
          </w:p>
        </w:tc>
        <w:tc>
          <w:tcPr>
            <w:tcW w:w="2123"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1275"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181</w:t>
            </w:r>
          </w:p>
        </w:tc>
        <w:tc>
          <w:tcPr>
            <w:tcW w:w="1132"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905</w:t>
            </w:r>
          </w:p>
        </w:tc>
      </w:tr>
    </w:tbl>
    <w:p w:rsidR="006B14C5" w:rsidRPr="005B6151" w:rsidRDefault="00781348">
      <w:pPr>
        <w:widowControl/>
        <w:suppressAutoHyphens w:val="0"/>
        <w:overflowPunct/>
        <w:jc w:val="left"/>
        <w:textAlignment w:val="auto"/>
        <w:rPr>
          <w:color w:val="auto"/>
          <w:sz w:val="20"/>
          <w:lang w:val="uk-UA" w:eastAsia="ru-RU"/>
        </w:rPr>
      </w:pPr>
      <w:bookmarkStart w:id="3" w:name="n185"/>
      <w:bookmarkEnd w:id="3"/>
      <w:r>
        <w:rPr>
          <w:color w:val="auto"/>
          <w:szCs w:val="24"/>
          <w:lang w:val="uk-UA" w:eastAsia="ru-RU"/>
        </w:rPr>
        <w:t xml:space="preserve">__________ </w:t>
      </w:r>
      <w:r>
        <w:rPr>
          <w:color w:val="auto"/>
          <w:szCs w:val="24"/>
          <w:lang w:val="uk-UA" w:eastAsia="ru-RU"/>
        </w:rPr>
        <w:br/>
      </w:r>
      <w:r w:rsidRPr="005B6151">
        <w:rPr>
          <w:color w:val="auto"/>
          <w:sz w:val="20"/>
          <w:lang w:val="uk-UA" w:eastAsia="ru-RU"/>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6B14C5" w:rsidRDefault="006B14C5">
      <w:pPr>
        <w:widowControl/>
        <w:suppressAutoHyphens w:val="0"/>
        <w:overflowPunct/>
        <w:jc w:val="left"/>
        <w:textAlignment w:val="auto"/>
        <w:rPr>
          <w:color w:val="auto"/>
          <w:szCs w:val="24"/>
          <w:lang w:val="uk-UA" w:eastAsia="ru-RU"/>
        </w:rPr>
      </w:pPr>
    </w:p>
    <w:tbl>
      <w:tblPr>
        <w:tblStyle w:val="af7"/>
        <w:tblW w:w="9628" w:type="dxa"/>
        <w:tblLayout w:type="fixed"/>
        <w:tblLook w:val="04A0" w:firstRow="1" w:lastRow="0" w:firstColumn="1" w:lastColumn="0" w:noHBand="0" w:noVBand="1"/>
      </w:tblPr>
      <w:tblGrid>
        <w:gridCol w:w="3393"/>
        <w:gridCol w:w="1989"/>
        <w:gridCol w:w="2046"/>
        <w:gridCol w:w="1215"/>
        <w:gridCol w:w="985"/>
      </w:tblGrid>
      <w:tr w:rsidR="006B14C5">
        <w:tc>
          <w:tcPr>
            <w:tcW w:w="3393"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Вид витрат</w:t>
            </w:r>
          </w:p>
        </w:tc>
        <w:tc>
          <w:tcPr>
            <w:tcW w:w="1989"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проходження відповідних процедур (витрати часу, витрати на експертизи, тощо)</w:t>
            </w:r>
          </w:p>
        </w:tc>
        <w:tc>
          <w:tcPr>
            <w:tcW w:w="2046" w:type="dxa"/>
            <w:vAlign w:val="center"/>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безпосередньо на дозволи, ліцензії, сертифікати, страхові поліси (за рік - стартовий)</w:t>
            </w:r>
          </w:p>
        </w:tc>
        <w:tc>
          <w:tcPr>
            <w:tcW w:w="1215"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Разом за рік (стартовий)</w:t>
            </w:r>
          </w:p>
        </w:tc>
        <w:tc>
          <w:tcPr>
            <w:tcW w:w="985"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за п’ять років</w:t>
            </w:r>
          </w:p>
        </w:tc>
      </w:tr>
      <w:tr w:rsidR="006B14C5">
        <w:tc>
          <w:tcPr>
            <w:tcW w:w="3393"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989"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2046"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1215"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c>
          <w:tcPr>
            <w:tcW w:w="985"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w:t>
            </w:r>
          </w:p>
        </w:tc>
      </w:tr>
    </w:tbl>
    <w:p w:rsidR="006B14C5" w:rsidRDefault="006B14C5">
      <w:pPr>
        <w:widowControl/>
        <w:suppressAutoHyphens w:val="0"/>
        <w:overflowPunct/>
        <w:jc w:val="left"/>
        <w:textAlignment w:val="auto"/>
        <w:rPr>
          <w:color w:val="auto"/>
          <w:szCs w:val="24"/>
          <w:lang w:val="uk-UA" w:eastAsia="ru-RU"/>
        </w:rPr>
      </w:pPr>
    </w:p>
    <w:tbl>
      <w:tblPr>
        <w:tblStyle w:val="af7"/>
        <w:tblW w:w="9628" w:type="dxa"/>
        <w:tblLayout w:type="fixed"/>
        <w:tblLook w:val="04A0" w:firstRow="1" w:lastRow="0" w:firstColumn="1" w:lastColumn="0" w:noHBand="0" w:noVBand="1"/>
      </w:tblPr>
      <w:tblGrid>
        <w:gridCol w:w="3397"/>
        <w:gridCol w:w="1987"/>
        <w:gridCol w:w="2124"/>
        <w:gridCol w:w="2120"/>
      </w:tblGrid>
      <w:tr w:rsidR="006B14C5">
        <w:tc>
          <w:tcPr>
            <w:tcW w:w="3396" w:type="dxa"/>
          </w:tcPr>
          <w:p w:rsidR="006B14C5" w:rsidRDefault="00781348">
            <w:pPr>
              <w:suppressAutoHyphens w:val="0"/>
              <w:overflowPunct/>
              <w:jc w:val="left"/>
              <w:textAlignment w:val="auto"/>
              <w:rPr>
                <w:color w:val="auto"/>
                <w:szCs w:val="24"/>
                <w:lang w:val="uk-UA" w:eastAsia="ru-RU"/>
              </w:rPr>
            </w:pPr>
            <w:r>
              <w:rPr>
                <w:color w:val="auto"/>
                <w:szCs w:val="24"/>
                <w:lang w:val="uk-UA" w:eastAsia="ru-RU"/>
              </w:rPr>
              <w:t>Вид витрат</w:t>
            </w:r>
          </w:p>
        </w:tc>
        <w:tc>
          <w:tcPr>
            <w:tcW w:w="1987" w:type="dxa"/>
          </w:tcPr>
          <w:p w:rsidR="006B14C5" w:rsidRDefault="00781348">
            <w:pPr>
              <w:suppressAutoHyphens w:val="0"/>
              <w:overflowPunct/>
              <w:jc w:val="left"/>
              <w:textAlignment w:val="auto"/>
              <w:rPr>
                <w:color w:val="auto"/>
                <w:szCs w:val="24"/>
                <w:lang w:val="uk-UA" w:eastAsia="ru-RU"/>
              </w:rPr>
            </w:pPr>
            <w:r>
              <w:rPr>
                <w:color w:val="auto"/>
                <w:szCs w:val="24"/>
                <w:lang w:val="uk-UA" w:eastAsia="ru-RU"/>
              </w:rPr>
              <w:t>За рік (стартовий)</w:t>
            </w:r>
          </w:p>
        </w:tc>
        <w:tc>
          <w:tcPr>
            <w:tcW w:w="2124" w:type="dxa"/>
          </w:tcPr>
          <w:p w:rsidR="006B14C5" w:rsidRDefault="00781348">
            <w:pPr>
              <w:suppressAutoHyphens w:val="0"/>
              <w:overflowPunct/>
              <w:jc w:val="left"/>
              <w:textAlignment w:val="auto"/>
              <w:rPr>
                <w:color w:val="auto"/>
                <w:szCs w:val="24"/>
                <w:lang w:val="uk-UA" w:eastAsia="ru-RU"/>
              </w:rPr>
            </w:pPr>
            <w:r>
              <w:rPr>
                <w:color w:val="auto"/>
                <w:szCs w:val="24"/>
                <w:lang w:val="uk-UA" w:eastAsia="ru-RU"/>
              </w:rPr>
              <w:t xml:space="preserve">Періодичні </w:t>
            </w:r>
            <w:r>
              <w:rPr>
                <w:color w:val="auto"/>
                <w:szCs w:val="24"/>
                <w:lang w:val="uk-UA" w:eastAsia="ru-RU"/>
              </w:rPr>
              <w:br/>
              <w:t>(за наступний рік)</w:t>
            </w:r>
          </w:p>
        </w:tc>
        <w:tc>
          <w:tcPr>
            <w:tcW w:w="2120" w:type="dxa"/>
          </w:tcPr>
          <w:p w:rsidR="006B14C5" w:rsidRDefault="00781348">
            <w:pPr>
              <w:suppressAutoHyphens w:val="0"/>
              <w:overflowPunct/>
              <w:jc w:val="left"/>
              <w:textAlignment w:val="auto"/>
              <w:rPr>
                <w:color w:val="auto"/>
                <w:szCs w:val="24"/>
                <w:lang w:val="uk-UA" w:eastAsia="ru-RU"/>
              </w:rPr>
            </w:pPr>
            <w:r>
              <w:rPr>
                <w:color w:val="auto"/>
                <w:szCs w:val="24"/>
                <w:lang w:val="uk-UA" w:eastAsia="ru-RU"/>
              </w:rPr>
              <w:t>Витрати за п’ять років</w:t>
            </w:r>
          </w:p>
        </w:tc>
      </w:tr>
      <w:tr w:rsidR="006B14C5">
        <w:tc>
          <w:tcPr>
            <w:tcW w:w="3396" w:type="dxa"/>
          </w:tcPr>
          <w:p w:rsidR="006B14C5" w:rsidRDefault="00781348">
            <w:pPr>
              <w:suppressAutoHyphens w:val="0"/>
              <w:overflowPunct/>
              <w:jc w:val="left"/>
              <w:textAlignment w:val="auto"/>
              <w:rPr>
                <w:color w:val="auto"/>
                <w:sz w:val="20"/>
                <w:lang w:val="uk-UA" w:eastAsia="ru-RU"/>
              </w:rPr>
            </w:pPr>
            <w:r>
              <w:rPr>
                <w:color w:val="auto"/>
                <w:sz w:val="20"/>
                <w:lang w:val="uk-UA" w:eastAsia="ru-RU"/>
              </w:rPr>
              <w:t xml:space="preserve">Витрати на оборотні активи </w:t>
            </w:r>
            <w:r w:rsidR="002674E2">
              <w:rPr>
                <w:color w:val="auto"/>
                <w:sz w:val="20"/>
                <w:lang w:val="uk-UA" w:eastAsia="ru-RU"/>
              </w:rPr>
              <w:br/>
            </w:r>
            <w:r>
              <w:rPr>
                <w:color w:val="auto"/>
                <w:sz w:val="20"/>
                <w:lang w:val="uk-UA" w:eastAsia="ru-RU"/>
              </w:rPr>
              <w:t>(матеріали, канцелярські товари тощо)</w:t>
            </w:r>
          </w:p>
        </w:tc>
        <w:tc>
          <w:tcPr>
            <w:tcW w:w="1987"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10</w:t>
            </w:r>
          </w:p>
        </w:tc>
        <w:tc>
          <w:tcPr>
            <w:tcW w:w="2124"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10</w:t>
            </w:r>
          </w:p>
        </w:tc>
        <w:tc>
          <w:tcPr>
            <w:tcW w:w="2120" w:type="dxa"/>
          </w:tcPr>
          <w:p w:rsidR="006B14C5" w:rsidRDefault="00781348">
            <w:pPr>
              <w:suppressAutoHyphens w:val="0"/>
              <w:overflowPunct/>
              <w:jc w:val="center"/>
              <w:textAlignment w:val="auto"/>
              <w:rPr>
                <w:color w:val="auto"/>
                <w:sz w:val="20"/>
                <w:lang w:val="uk-UA" w:eastAsia="ru-RU"/>
              </w:rPr>
            </w:pPr>
            <w:r>
              <w:rPr>
                <w:color w:val="auto"/>
                <w:sz w:val="20"/>
                <w:lang w:val="uk-UA" w:eastAsia="ru-RU"/>
              </w:rPr>
              <w:t>50</w:t>
            </w:r>
          </w:p>
        </w:tc>
      </w:tr>
    </w:tbl>
    <w:p w:rsidR="006B14C5" w:rsidRDefault="006B14C5">
      <w:pPr>
        <w:widowControl/>
        <w:suppressAutoHyphens w:val="0"/>
        <w:overflowPunct/>
        <w:jc w:val="left"/>
        <w:textAlignment w:val="auto"/>
        <w:rPr>
          <w:color w:val="auto"/>
          <w:sz w:val="20"/>
          <w:lang w:val="uk-UA" w:eastAsia="ru-RU"/>
        </w:rPr>
      </w:pPr>
    </w:p>
    <w:tbl>
      <w:tblPr>
        <w:tblStyle w:val="af7"/>
        <w:tblW w:w="9628" w:type="dxa"/>
        <w:tblLayout w:type="fixed"/>
        <w:tblLook w:val="04A0" w:firstRow="1" w:lastRow="0" w:firstColumn="1" w:lastColumn="0" w:noHBand="0" w:noVBand="1"/>
      </w:tblPr>
      <w:tblGrid>
        <w:gridCol w:w="3393"/>
        <w:gridCol w:w="3025"/>
        <w:gridCol w:w="3210"/>
      </w:tblGrid>
      <w:tr w:rsidR="006B14C5">
        <w:tc>
          <w:tcPr>
            <w:tcW w:w="3393" w:type="dxa"/>
          </w:tcPr>
          <w:p w:rsidR="006B14C5" w:rsidRDefault="00781348">
            <w:pPr>
              <w:suppressAutoHyphens w:val="0"/>
              <w:overflowPunct/>
              <w:jc w:val="left"/>
              <w:textAlignment w:val="auto"/>
              <w:rPr>
                <w:vanish/>
                <w:color w:val="auto"/>
                <w:sz w:val="20"/>
                <w:lang w:val="uk-UA" w:eastAsia="ru-RU"/>
              </w:rPr>
            </w:pPr>
            <w:bookmarkStart w:id="4" w:name="n188"/>
            <w:bookmarkEnd w:id="4"/>
            <w:r>
              <w:rPr>
                <w:color w:val="auto"/>
                <w:sz w:val="20"/>
                <w:lang w:val="uk-UA" w:eastAsia="ru-RU"/>
              </w:rPr>
              <w:t>Вид витрат</w:t>
            </w:r>
          </w:p>
        </w:tc>
        <w:tc>
          <w:tcPr>
            <w:tcW w:w="3025" w:type="dxa"/>
          </w:tcPr>
          <w:p w:rsidR="006B14C5" w:rsidRDefault="00781348">
            <w:pPr>
              <w:suppressAutoHyphens w:val="0"/>
              <w:overflowPunct/>
              <w:jc w:val="left"/>
              <w:textAlignment w:val="auto"/>
              <w:rPr>
                <w:vanish/>
                <w:color w:val="auto"/>
                <w:sz w:val="20"/>
                <w:lang w:val="uk-UA" w:eastAsia="ru-RU"/>
              </w:rPr>
            </w:pPr>
            <w:r>
              <w:rPr>
                <w:color w:val="auto"/>
                <w:sz w:val="20"/>
                <w:lang w:val="uk-UA" w:eastAsia="ru-RU"/>
              </w:rPr>
              <w:t>Витрати на оплату праці додатково найманого персоналу (за рік)</w:t>
            </w:r>
          </w:p>
        </w:tc>
        <w:tc>
          <w:tcPr>
            <w:tcW w:w="3210" w:type="dxa"/>
          </w:tcPr>
          <w:p w:rsidR="006B14C5" w:rsidRDefault="00781348">
            <w:pPr>
              <w:suppressAutoHyphens w:val="0"/>
              <w:overflowPunct/>
              <w:jc w:val="left"/>
              <w:textAlignment w:val="auto"/>
              <w:rPr>
                <w:vanish/>
                <w:color w:val="auto"/>
                <w:sz w:val="20"/>
                <w:lang w:val="uk-UA" w:eastAsia="ru-RU"/>
              </w:rPr>
            </w:pPr>
            <w:r>
              <w:rPr>
                <w:color w:val="auto"/>
                <w:sz w:val="20"/>
                <w:lang w:val="uk-UA" w:eastAsia="ru-RU"/>
              </w:rPr>
              <w:t>Витрати за п’ять років</w:t>
            </w:r>
          </w:p>
        </w:tc>
      </w:tr>
      <w:tr w:rsidR="006B14C5">
        <w:tc>
          <w:tcPr>
            <w:tcW w:w="3393" w:type="dxa"/>
          </w:tcPr>
          <w:p w:rsidR="006B14C5" w:rsidRDefault="00781348">
            <w:pPr>
              <w:suppressAutoHyphens w:val="0"/>
              <w:overflowPunct/>
              <w:jc w:val="left"/>
              <w:textAlignment w:val="auto"/>
              <w:rPr>
                <w:vanish/>
                <w:color w:val="auto"/>
                <w:sz w:val="20"/>
                <w:lang w:val="uk-UA" w:eastAsia="ru-RU"/>
              </w:rPr>
            </w:pPr>
            <w:r>
              <w:rPr>
                <w:color w:val="auto"/>
                <w:sz w:val="20"/>
                <w:lang w:val="uk-UA" w:eastAsia="ru-RU"/>
              </w:rPr>
              <w:t xml:space="preserve">Витрати, пов’язані із </w:t>
            </w:r>
            <w:proofErr w:type="spellStart"/>
            <w:r>
              <w:rPr>
                <w:color w:val="auto"/>
                <w:sz w:val="20"/>
                <w:lang w:val="uk-UA" w:eastAsia="ru-RU"/>
              </w:rPr>
              <w:t>наймом</w:t>
            </w:r>
            <w:proofErr w:type="spellEnd"/>
            <w:r>
              <w:rPr>
                <w:color w:val="auto"/>
                <w:sz w:val="20"/>
                <w:lang w:val="uk-UA" w:eastAsia="ru-RU"/>
              </w:rPr>
              <w:t xml:space="preserve"> </w:t>
            </w:r>
            <w:r w:rsidR="002674E2">
              <w:rPr>
                <w:color w:val="auto"/>
                <w:sz w:val="20"/>
                <w:lang w:val="uk-UA" w:eastAsia="ru-RU"/>
              </w:rPr>
              <w:br/>
            </w:r>
            <w:r>
              <w:rPr>
                <w:color w:val="auto"/>
                <w:sz w:val="20"/>
                <w:lang w:val="uk-UA" w:eastAsia="ru-RU"/>
              </w:rPr>
              <w:t>додаткового персоналу</w:t>
            </w:r>
          </w:p>
        </w:tc>
        <w:tc>
          <w:tcPr>
            <w:tcW w:w="3025" w:type="dxa"/>
          </w:tcPr>
          <w:p w:rsidR="006B14C5" w:rsidRDefault="00781348">
            <w:pPr>
              <w:suppressAutoHyphens w:val="0"/>
              <w:overflowPunct/>
              <w:jc w:val="center"/>
              <w:textAlignment w:val="auto"/>
              <w:rPr>
                <w:vanish/>
                <w:color w:val="auto"/>
                <w:sz w:val="20"/>
                <w:lang w:val="uk-UA" w:eastAsia="ru-RU"/>
              </w:rPr>
            </w:pPr>
            <w:r>
              <w:rPr>
                <w:color w:val="auto"/>
                <w:sz w:val="20"/>
                <w:lang w:val="uk-UA" w:eastAsia="ru-RU"/>
              </w:rPr>
              <w:t>-</w:t>
            </w:r>
          </w:p>
        </w:tc>
        <w:tc>
          <w:tcPr>
            <w:tcW w:w="3210" w:type="dxa"/>
          </w:tcPr>
          <w:p w:rsidR="006B14C5" w:rsidRDefault="00781348">
            <w:pPr>
              <w:suppressAutoHyphens w:val="0"/>
              <w:overflowPunct/>
              <w:jc w:val="center"/>
              <w:textAlignment w:val="auto"/>
              <w:rPr>
                <w:vanish/>
                <w:color w:val="auto"/>
                <w:sz w:val="20"/>
                <w:lang w:val="uk-UA" w:eastAsia="ru-RU"/>
              </w:rPr>
            </w:pPr>
            <w:r>
              <w:rPr>
                <w:color w:val="auto"/>
                <w:sz w:val="20"/>
                <w:lang w:val="uk-UA" w:eastAsia="ru-RU"/>
              </w:rPr>
              <w:t>-</w:t>
            </w:r>
          </w:p>
        </w:tc>
      </w:tr>
    </w:tbl>
    <w:p w:rsidR="006B14C5" w:rsidRDefault="00781348">
      <w:pPr>
        <w:pStyle w:val="aa"/>
        <w:spacing w:after="0" w:line="240" w:lineRule="auto"/>
        <w:jc w:val="right"/>
        <w:rPr>
          <w:color w:val="auto"/>
          <w:sz w:val="24"/>
        </w:rPr>
      </w:pPr>
      <w:r>
        <w:br w:type="page"/>
      </w:r>
    </w:p>
    <w:p w:rsidR="006B14C5" w:rsidRDefault="00781348">
      <w:pPr>
        <w:pStyle w:val="aa"/>
        <w:spacing w:after="0" w:line="240" w:lineRule="auto"/>
        <w:jc w:val="right"/>
        <w:rPr>
          <w:rFonts w:ascii="Times New Roman" w:hAnsi="Times New Roman"/>
        </w:rPr>
      </w:pPr>
      <w:r>
        <w:rPr>
          <w:rFonts w:ascii="Times New Roman" w:hAnsi="Times New Roman"/>
          <w:color w:val="auto"/>
          <w:sz w:val="24"/>
        </w:rPr>
        <w:lastRenderedPageBreak/>
        <w:t>Додаток 2</w:t>
      </w:r>
    </w:p>
    <w:p w:rsidR="006B14C5" w:rsidRDefault="006B14C5">
      <w:pPr>
        <w:pStyle w:val="aa"/>
        <w:spacing w:after="0" w:line="240" w:lineRule="auto"/>
        <w:jc w:val="both"/>
        <w:rPr>
          <w:color w:val="auto"/>
        </w:rPr>
      </w:pPr>
    </w:p>
    <w:p w:rsidR="006B14C5" w:rsidRDefault="00781348">
      <w:pPr>
        <w:widowControl/>
        <w:suppressAutoHyphens w:val="0"/>
        <w:overflowPunct/>
        <w:jc w:val="center"/>
        <w:textAlignment w:val="auto"/>
        <w:rPr>
          <w:b/>
          <w:color w:val="auto"/>
          <w:szCs w:val="24"/>
          <w:lang w:val="uk-UA" w:eastAsia="ru-RU"/>
        </w:rPr>
      </w:pPr>
      <w:r>
        <w:rPr>
          <w:b/>
          <w:color w:val="auto"/>
          <w:szCs w:val="24"/>
          <w:lang w:val="uk-UA" w:eastAsia="ru-RU"/>
        </w:rPr>
        <w:t>ТЕСТ</w:t>
      </w:r>
    </w:p>
    <w:p w:rsidR="006B14C5" w:rsidRDefault="00781348">
      <w:pPr>
        <w:widowControl/>
        <w:suppressAutoHyphens w:val="0"/>
        <w:overflowPunct/>
        <w:jc w:val="center"/>
        <w:textAlignment w:val="auto"/>
        <w:rPr>
          <w:b/>
          <w:color w:val="auto"/>
          <w:szCs w:val="24"/>
          <w:lang w:val="uk-UA" w:eastAsia="ru-RU"/>
        </w:rPr>
      </w:pPr>
      <w:r>
        <w:rPr>
          <w:b/>
          <w:color w:val="auto"/>
          <w:szCs w:val="24"/>
          <w:lang w:val="uk-UA" w:eastAsia="ru-RU"/>
        </w:rPr>
        <w:t>малого підприємництва (М-Тест)</w:t>
      </w:r>
    </w:p>
    <w:p w:rsidR="006B14C5" w:rsidRDefault="006B14C5">
      <w:pPr>
        <w:widowControl/>
        <w:suppressAutoHyphens w:val="0"/>
        <w:overflowPunct/>
        <w:jc w:val="left"/>
        <w:textAlignment w:val="auto"/>
        <w:rPr>
          <w:color w:val="auto"/>
          <w:szCs w:val="24"/>
          <w:lang w:val="uk-UA" w:eastAsia="ru-RU"/>
        </w:rPr>
      </w:pPr>
      <w:bookmarkStart w:id="5" w:name="n200"/>
      <w:bookmarkEnd w:id="5"/>
    </w:p>
    <w:p w:rsidR="006B14C5" w:rsidRDefault="00781348">
      <w:pPr>
        <w:widowControl/>
        <w:suppressAutoHyphens w:val="0"/>
        <w:overflowPunct/>
        <w:ind w:firstLine="708"/>
        <w:textAlignment w:val="auto"/>
        <w:rPr>
          <w:color w:val="auto"/>
          <w:szCs w:val="24"/>
          <w:lang w:val="uk-UA" w:eastAsia="ru-RU"/>
        </w:rPr>
      </w:pPr>
      <w:r>
        <w:rPr>
          <w:color w:val="auto"/>
          <w:szCs w:val="24"/>
          <w:lang w:val="uk-UA" w:eastAsia="ru-RU"/>
        </w:rPr>
        <w:t>1. Консультації з представниками мікро- та малого підприємництва щодо оцінки впливу регулювання</w:t>
      </w:r>
    </w:p>
    <w:p w:rsidR="006B14C5" w:rsidRDefault="00781348">
      <w:pPr>
        <w:widowControl/>
        <w:suppressAutoHyphens w:val="0"/>
        <w:overflowPunct/>
        <w:ind w:firstLine="708"/>
        <w:textAlignment w:val="auto"/>
        <w:rPr>
          <w:color w:val="auto"/>
          <w:szCs w:val="24"/>
          <w:lang w:val="uk-UA" w:eastAsia="ru-RU"/>
        </w:rPr>
      </w:pPr>
      <w:bookmarkStart w:id="6" w:name="n201"/>
      <w:bookmarkEnd w:id="6"/>
      <w:r>
        <w:rPr>
          <w:color w:val="auto"/>
          <w:szCs w:val="24"/>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січня 2021 р. по </w:t>
      </w:r>
      <w:r w:rsidR="002674E2">
        <w:rPr>
          <w:color w:val="auto"/>
          <w:szCs w:val="24"/>
          <w:lang w:val="uk-UA" w:eastAsia="ru-RU"/>
        </w:rPr>
        <w:br/>
      </w:r>
      <w:r>
        <w:rPr>
          <w:color w:val="auto"/>
          <w:szCs w:val="24"/>
          <w:lang w:val="uk-UA" w:eastAsia="ru-RU"/>
        </w:rPr>
        <w:t>“01”березня 2021 р.</w:t>
      </w:r>
    </w:p>
    <w:p w:rsidR="006B14C5" w:rsidRDefault="006B14C5">
      <w:pPr>
        <w:widowControl/>
        <w:suppressAutoHyphens w:val="0"/>
        <w:overflowPunct/>
        <w:ind w:firstLine="708"/>
        <w:textAlignment w:val="auto"/>
        <w:rPr>
          <w:color w:val="auto"/>
          <w:szCs w:val="24"/>
          <w:lang w:val="uk-UA" w:eastAsia="ru-RU"/>
        </w:rPr>
      </w:pPr>
    </w:p>
    <w:tbl>
      <w:tblPr>
        <w:tblW w:w="9463" w:type="dxa"/>
        <w:tblInd w:w="113" w:type="dxa"/>
        <w:tblLayout w:type="fixed"/>
        <w:tblLook w:val="0000" w:firstRow="0" w:lastRow="0" w:firstColumn="0" w:lastColumn="0" w:noHBand="0" w:noVBand="0"/>
      </w:tblPr>
      <w:tblGrid>
        <w:gridCol w:w="876"/>
        <w:gridCol w:w="3981"/>
        <w:gridCol w:w="1716"/>
        <w:gridCol w:w="2890"/>
      </w:tblGrid>
      <w:tr w:rsidR="006B14C5">
        <w:tc>
          <w:tcPr>
            <w:tcW w:w="875"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bookmarkStart w:id="7" w:name="n203"/>
            <w:bookmarkEnd w:id="7"/>
            <w:r>
              <w:rPr>
                <w:color w:val="auto"/>
                <w:sz w:val="20"/>
                <w:lang w:val="uk-UA"/>
              </w:rPr>
              <w:t>Порядковий №</w:t>
            </w:r>
          </w:p>
        </w:tc>
        <w:tc>
          <w:tcPr>
            <w:tcW w:w="3981"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1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Кількість учасників консультацій, осіб</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Основні результати консультацій (опис)</w:t>
            </w:r>
          </w:p>
        </w:tc>
      </w:tr>
      <w:tr w:rsidR="006B14C5" w:rsidRPr="003B7BCC">
        <w:trPr>
          <w:trHeight w:val="1635"/>
        </w:trPr>
        <w:tc>
          <w:tcPr>
            <w:tcW w:w="875"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 xml:space="preserve">1 </w:t>
            </w:r>
          </w:p>
        </w:tc>
        <w:tc>
          <w:tcPr>
            <w:tcW w:w="3981"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Зустрічі (опитування)</w:t>
            </w:r>
          </w:p>
        </w:tc>
        <w:tc>
          <w:tcPr>
            <w:tcW w:w="171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25</w:t>
            </w: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rPr>
                <w:color w:val="auto"/>
                <w:sz w:val="20"/>
                <w:lang w:val="uk-UA"/>
              </w:rPr>
            </w:pPr>
            <w:r>
              <w:rPr>
                <w:color w:val="auto"/>
                <w:sz w:val="20"/>
                <w:lang w:val="uk-UA"/>
              </w:rPr>
              <w:t>Обговорення питання щодо оподаткування.</w:t>
            </w:r>
          </w:p>
          <w:p w:rsidR="006B14C5" w:rsidRDefault="00781348">
            <w:pPr>
              <w:rPr>
                <w:color w:val="auto"/>
                <w:sz w:val="20"/>
                <w:lang w:val="uk-UA"/>
              </w:rPr>
            </w:pPr>
            <w:r>
              <w:rPr>
                <w:color w:val="auto"/>
                <w:sz w:val="20"/>
                <w:lang w:val="uk-UA"/>
              </w:rPr>
              <w:t>Від підприємців отримана інформація про існуючі проблемні питання у цій сфері, отримано пропозиції та зауваження до розроблення проекту регуляторного акту.</w:t>
            </w:r>
          </w:p>
        </w:tc>
      </w:tr>
      <w:tr w:rsidR="006B14C5">
        <w:tc>
          <w:tcPr>
            <w:tcW w:w="875"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2</w:t>
            </w:r>
          </w:p>
        </w:tc>
        <w:tc>
          <w:tcPr>
            <w:tcW w:w="3981"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Консультації у телефонному режимі</w:t>
            </w:r>
          </w:p>
        </w:tc>
        <w:tc>
          <w:tcPr>
            <w:tcW w:w="171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42</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Pr>
          <w:p w:rsidR="006B14C5" w:rsidRDefault="006B14C5">
            <w:pPr>
              <w:rPr>
                <w:color w:val="auto"/>
                <w:sz w:val="20"/>
                <w:lang w:val="uk-UA"/>
              </w:rPr>
            </w:pPr>
          </w:p>
        </w:tc>
      </w:tr>
    </w:tbl>
    <w:p w:rsidR="006B14C5" w:rsidRDefault="006B14C5">
      <w:pPr>
        <w:ind w:firstLine="709"/>
        <w:rPr>
          <w:color w:val="auto"/>
          <w:szCs w:val="24"/>
          <w:lang w:val="uk-UA"/>
        </w:rPr>
      </w:pPr>
    </w:p>
    <w:p w:rsidR="006B14C5" w:rsidRDefault="00781348">
      <w:pPr>
        <w:ind w:firstLine="709"/>
        <w:rPr>
          <w:color w:val="auto"/>
          <w:lang w:val="uk-UA"/>
        </w:rPr>
      </w:pPr>
      <w:r>
        <w:rPr>
          <w:b/>
          <w:color w:val="auto"/>
          <w:szCs w:val="24"/>
          <w:lang w:val="uk-UA"/>
        </w:rPr>
        <w:t>2. Вимірювання впливу регулювання на суб’єктів малого підприємництва мікро- та малі):</w:t>
      </w:r>
    </w:p>
    <w:p w:rsidR="006B14C5" w:rsidRDefault="00781348">
      <w:pPr>
        <w:ind w:firstLine="709"/>
        <w:rPr>
          <w:color w:val="auto"/>
          <w:lang w:val="uk-UA"/>
        </w:rPr>
      </w:pPr>
      <w:r>
        <w:rPr>
          <w:color w:val="auto"/>
          <w:szCs w:val="24"/>
          <w:lang w:val="uk-UA"/>
        </w:rPr>
        <w:t xml:space="preserve">Кількість суб’єктів малого підприємництва, на яких поширюється регулювання: </w:t>
      </w:r>
      <w:r w:rsidR="002674E2">
        <w:rPr>
          <w:color w:val="auto"/>
          <w:szCs w:val="24"/>
          <w:lang w:val="uk-UA"/>
        </w:rPr>
        <w:br/>
      </w:r>
      <w:r>
        <w:rPr>
          <w:color w:val="auto"/>
          <w:szCs w:val="24"/>
          <w:lang w:val="uk-UA"/>
        </w:rPr>
        <w:t xml:space="preserve">67 (одиниць), з них – 64 </w:t>
      </w:r>
      <w:proofErr w:type="spellStart"/>
      <w:r>
        <w:rPr>
          <w:color w:val="auto"/>
          <w:szCs w:val="24"/>
          <w:lang w:val="uk-UA"/>
        </w:rPr>
        <w:t>мікропідприємництва</w:t>
      </w:r>
      <w:proofErr w:type="spellEnd"/>
      <w:r>
        <w:rPr>
          <w:color w:val="auto"/>
          <w:szCs w:val="24"/>
          <w:lang w:val="uk-UA"/>
        </w:rPr>
        <w:t>.</w:t>
      </w:r>
    </w:p>
    <w:p w:rsidR="006B14C5" w:rsidRDefault="00781348">
      <w:pPr>
        <w:ind w:firstLine="709"/>
        <w:rPr>
          <w:color w:val="auto"/>
          <w:lang w:val="uk-UA"/>
        </w:rPr>
      </w:pPr>
      <w:r>
        <w:rPr>
          <w:color w:val="auto"/>
          <w:szCs w:val="24"/>
          <w:lang w:val="uk-UA"/>
        </w:rPr>
        <w:t>Питома вага суб’єктів малого підприємництва у загальній кількості суб’єктів господарювання, на яких проблема справляє вплив 96 (відсотків).</w:t>
      </w:r>
    </w:p>
    <w:p w:rsidR="006B14C5" w:rsidRDefault="006B14C5">
      <w:pPr>
        <w:widowControl/>
        <w:suppressAutoHyphens w:val="0"/>
        <w:overflowPunct/>
        <w:jc w:val="left"/>
        <w:textAlignment w:val="auto"/>
        <w:rPr>
          <w:color w:val="auto"/>
          <w:szCs w:val="24"/>
          <w:lang w:val="uk-UA" w:eastAsia="ru-RU"/>
        </w:rPr>
      </w:pPr>
    </w:p>
    <w:p w:rsidR="006B14C5" w:rsidRDefault="00781348">
      <w:pPr>
        <w:ind w:firstLine="709"/>
        <w:rPr>
          <w:b/>
          <w:color w:val="auto"/>
          <w:szCs w:val="24"/>
          <w:lang w:val="uk-UA"/>
        </w:rPr>
      </w:pPr>
      <w:r>
        <w:rPr>
          <w:b/>
          <w:color w:val="auto"/>
          <w:szCs w:val="24"/>
          <w:lang w:val="uk-UA"/>
        </w:rPr>
        <w:t>3. Розрахунок витрат суб’єктів малого підприємництва на виконання вимог регулювання</w:t>
      </w:r>
    </w:p>
    <w:p w:rsidR="006B14C5" w:rsidRDefault="006B14C5">
      <w:pPr>
        <w:ind w:firstLine="709"/>
        <w:rPr>
          <w:color w:val="auto"/>
          <w:lang w:val="uk-UA"/>
        </w:rPr>
      </w:pPr>
    </w:p>
    <w:tbl>
      <w:tblPr>
        <w:tblW w:w="9581" w:type="dxa"/>
        <w:tblInd w:w="-5" w:type="dxa"/>
        <w:tblLayout w:type="fixed"/>
        <w:tblLook w:val="0000" w:firstRow="0" w:lastRow="0" w:firstColumn="0" w:lastColumn="0" w:noHBand="0" w:noVBand="0"/>
      </w:tblPr>
      <w:tblGrid>
        <w:gridCol w:w="530"/>
        <w:gridCol w:w="64"/>
        <w:gridCol w:w="3230"/>
        <w:gridCol w:w="34"/>
        <w:gridCol w:w="2106"/>
        <w:gridCol w:w="245"/>
        <w:gridCol w:w="1562"/>
        <w:gridCol w:w="139"/>
        <w:gridCol w:w="1671"/>
      </w:tblGrid>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w:t>
            </w:r>
          </w:p>
        </w:tc>
        <w:tc>
          <w:tcPr>
            <w:tcW w:w="32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Найменування оцінки</w:t>
            </w:r>
          </w:p>
        </w:tc>
        <w:tc>
          <w:tcPr>
            <w:tcW w:w="2385" w:type="dxa"/>
            <w:gridSpan w:val="3"/>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У перший рік (стартовий рік впровадження регулювання)</w:t>
            </w:r>
          </w:p>
        </w:tc>
        <w:tc>
          <w:tcPr>
            <w:tcW w:w="1701"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Періодичні (за наступний рік)</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rPr>
                <w:color w:val="auto"/>
                <w:sz w:val="20"/>
                <w:lang w:val="uk-UA"/>
              </w:rPr>
            </w:pPr>
            <w:r>
              <w:rPr>
                <w:color w:val="auto"/>
                <w:sz w:val="20"/>
                <w:lang w:val="uk-UA"/>
              </w:rPr>
              <w:t>Витрати за п’ять років</w:t>
            </w:r>
          </w:p>
        </w:tc>
      </w:tr>
      <w:tr w:rsidR="006B14C5">
        <w:tc>
          <w:tcPr>
            <w:tcW w:w="9581" w:type="dxa"/>
            <w:gridSpan w:val="9"/>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rPr>
                <w:color w:val="auto"/>
                <w:sz w:val="20"/>
                <w:lang w:val="uk-UA"/>
              </w:rPr>
            </w:pPr>
            <w:r>
              <w:rPr>
                <w:color w:val="auto"/>
                <w:sz w:val="20"/>
                <w:lang w:val="uk-UA"/>
              </w:rPr>
              <w:t xml:space="preserve">Оцінка </w:t>
            </w:r>
            <w:r>
              <w:rPr>
                <w:rFonts w:cs="Calibri"/>
                <w:color w:val="auto"/>
                <w:sz w:val="20"/>
                <w:lang w:val="uk-UA"/>
              </w:rPr>
              <w:t>“</w:t>
            </w:r>
            <w:r>
              <w:rPr>
                <w:color w:val="auto"/>
                <w:sz w:val="20"/>
                <w:lang w:val="uk-UA"/>
              </w:rPr>
              <w:t>прямих</w:t>
            </w:r>
            <w:r>
              <w:rPr>
                <w:rFonts w:cs="Calibri"/>
                <w:color w:val="auto"/>
                <w:sz w:val="20"/>
                <w:lang w:val="uk-UA"/>
              </w:rPr>
              <w:t>”</w:t>
            </w:r>
            <w:r>
              <w:rPr>
                <w:color w:val="auto"/>
                <w:sz w:val="20"/>
                <w:lang w:val="uk-UA"/>
              </w:rPr>
              <w:t xml:space="preserve"> витрат суб’єктів малого підприємництва на виконання регулювання</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w:t>
            </w:r>
          </w:p>
        </w:tc>
        <w:tc>
          <w:tcPr>
            <w:tcW w:w="32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Придбання необхідного обладнання (пристроїв, машин, механізмів)</w:t>
            </w:r>
          </w:p>
        </w:tc>
        <w:tc>
          <w:tcPr>
            <w:tcW w:w="2385" w:type="dxa"/>
            <w:gridSpan w:val="3"/>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701"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2</w:t>
            </w:r>
          </w:p>
        </w:tc>
        <w:tc>
          <w:tcPr>
            <w:tcW w:w="32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Процедури повірки та/або постановки на відповідний облік у визначеному органі державної влади чи місцевого самоврядування</w:t>
            </w:r>
          </w:p>
        </w:tc>
        <w:tc>
          <w:tcPr>
            <w:tcW w:w="2385" w:type="dxa"/>
            <w:gridSpan w:val="3"/>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701"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3</w:t>
            </w:r>
          </w:p>
        </w:tc>
        <w:tc>
          <w:tcPr>
            <w:tcW w:w="32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Процедури експлуатації обладнання (експлуатаційні витрати – витратні матеріали)</w:t>
            </w:r>
          </w:p>
        </w:tc>
        <w:tc>
          <w:tcPr>
            <w:tcW w:w="2385" w:type="dxa"/>
            <w:gridSpan w:val="3"/>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701"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4</w:t>
            </w:r>
          </w:p>
        </w:tc>
        <w:tc>
          <w:tcPr>
            <w:tcW w:w="32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Процедури обслуговування обладнання (технічне обслуговування)</w:t>
            </w:r>
          </w:p>
        </w:tc>
        <w:tc>
          <w:tcPr>
            <w:tcW w:w="2385" w:type="dxa"/>
            <w:gridSpan w:val="3"/>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701"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30" w:type="dxa"/>
            <w:tcBorders>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5</w:t>
            </w:r>
          </w:p>
        </w:tc>
        <w:tc>
          <w:tcPr>
            <w:tcW w:w="3294" w:type="dxa"/>
            <w:gridSpan w:val="2"/>
            <w:tcBorders>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Інші</w:t>
            </w:r>
          </w:p>
        </w:tc>
        <w:tc>
          <w:tcPr>
            <w:tcW w:w="2385" w:type="dxa"/>
            <w:gridSpan w:val="3"/>
            <w:tcBorders>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701" w:type="dxa"/>
            <w:gridSpan w:val="2"/>
            <w:tcBorders>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671" w:type="dxa"/>
            <w:tcBorders>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6</w:t>
            </w:r>
          </w:p>
        </w:tc>
        <w:tc>
          <w:tcPr>
            <w:tcW w:w="32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Разом, гривень</w:t>
            </w:r>
          </w:p>
        </w:tc>
        <w:tc>
          <w:tcPr>
            <w:tcW w:w="2385" w:type="dxa"/>
            <w:gridSpan w:val="3"/>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701"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lastRenderedPageBreak/>
              <w:t>7</w:t>
            </w:r>
          </w:p>
        </w:tc>
        <w:tc>
          <w:tcPr>
            <w:tcW w:w="32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Кількість суб’єктів господарювання, що повинні виконати вимоги регулювання, одиниць</w:t>
            </w:r>
          </w:p>
        </w:tc>
        <w:tc>
          <w:tcPr>
            <w:tcW w:w="5757" w:type="dxa"/>
            <w:gridSpan w:val="6"/>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67</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8</w:t>
            </w:r>
          </w:p>
        </w:tc>
        <w:tc>
          <w:tcPr>
            <w:tcW w:w="32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Сумарно, гривень</w:t>
            </w:r>
          </w:p>
        </w:tc>
        <w:tc>
          <w:tcPr>
            <w:tcW w:w="2385" w:type="dxa"/>
            <w:gridSpan w:val="3"/>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701"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9581" w:type="dxa"/>
            <w:gridSpan w:val="9"/>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rPr>
                <w:color w:val="auto"/>
                <w:sz w:val="20"/>
                <w:lang w:val="uk-UA"/>
              </w:rPr>
            </w:pPr>
            <w:r>
              <w:rPr>
                <w:color w:val="auto"/>
                <w:sz w:val="20"/>
                <w:lang w:val="uk-UA"/>
              </w:rPr>
              <w:t>Оцінка вартості адміністративних процедур суб’єктів малого підприємництва щодо виконання регулювання та звітування</w:t>
            </w:r>
          </w:p>
          <w:p w:rsidR="006B14C5" w:rsidRDefault="00781348">
            <w:pPr>
              <w:rPr>
                <w:color w:val="auto"/>
                <w:sz w:val="20"/>
                <w:lang w:val="uk-UA"/>
              </w:rPr>
            </w:pPr>
            <w:r>
              <w:rPr>
                <w:color w:val="auto"/>
                <w:sz w:val="20"/>
                <w:lang w:val="uk-UA"/>
              </w:rPr>
              <w:t>Розрахунок вартості 1 людино-години:</w:t>
            </w:r>
          </w:p>
          <w:p w:rsidR="006B14C5" w:rsidRDefault="00781348">
            <w:pPr>
              <w:rPr>
                <w:color w:val="auto"/>
                <w:sz w:val="20"/>
                <w:lang w:val="uk-UA"/>
              </w:rPr>
            </w:pPr>
            <w:r>
              <w:rPr>
                <w:color w:val="auto"/>
                <w:sz w:val="20"/>
                <w:lang w:val="uk-UA"/>
              </w:rPr>
              <w:t>Мінімальна заробітна плата на 2021 рік - 6000,0 грн. (погодинна - 36,11 грн.)</w:t>
            </w:r>
          </w:p>
        </w:tc>
      </w:tr>
      <w:tr w:rsidR="006B14C5">
        <w:tc>
          <w:tcPr>
            <w:tcW w:w="5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9</w:t>
            </w:r>
          </w:p>
        </w:tc>
        <w:tc>
          <w:tcPr>
            <w:tcW w:w="326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Процедури отримання первинної інформації про вимоги регулювання (одноразово)</w:t>
            </w:r>
          </w:p>
        </w:tc>
        <w:tc>
          <w:tcPr>
            <w:tcW w:w="210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807"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10</w:t>
            </w:r>
          </w:p>
        </w:tc>
        <w:tc>
          <w:tcPr>
            <w:tcW w:w="326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Процедури організації виконання вимог регулювання:</w:t>
            </w:r>
          </w:p>
          <w:p w:rsidR="006B14C5" w:rsidRDefault="00781348">
            <w:pPr>
              <w:rPr>
                <w:color w:val="auto"/>
                <w:sz w:val="20"/>
                <w:lang w:val="uk-UA"/>
              </w:rPr>
            </w:pPr>
            <w:r>
              <w:rPr>
                <w:color w:val="auto"/>
                <w:sz w:val="20"/>
                <w:lang w:val="uk-UA"/>
              </w:rPr>
              <w:t>Внесення змін до внутрішніх процедур обліку та звітності</w:t>
            </w:r>
          </w:p>
        </w:tc>
        <w:tc>
          <w:tcPr>
            <w:tcW w:w="210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807"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11</w:t>
            </w:r>
          </w:p>
        </w:tc>
        <w:tc>
          <w:tcPr>
            <w:tcW w:w="326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Процедури офіційного звітування</w:t>
            </w:r>
          </w:p>
        </w:tc>
        <w:tc>
          <w:tcPr>
            <w:tcW w:w="210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 xml:space="preserve">72 </w:t>
            </w:r>
          </w:p>
          <w:p w:rsidR="006B14C5" w:rsidRDefault="00781348">
            <w:pPr>
              <w:jc w:val="center"/>
              <w:rPr>
                <w:color w:val="auto"/>
                <w:sz w:val="20"/>
                <w:lang w:val="uk-UA"/>
              </w:rPr>
            </w:pPr>
            <w:r>
              <w:rPr>
                <w:color w:val="auto"/>
                <w:sz w:val="20"/>
                <w:lang w:val="uk-UA"/>
              </w:rPr>
              <w:t>(36,11 х 2)</w:t>
            </w:r>
          </w:p>
        </w:tc>
        <w:tc>
          <w:tcPr>
            <w:tcW w:w="1807"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72</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360</w:t>
            </w:r>
          </w:p>
        </w:tc>
      </w:tr>
      <w:tr w:rsidR="006B14C5">
        <w:tc>
          <w:tcPr>
            <w:tcW w:w="5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12</w:t>
            </w:r>
          </w:p>
        </w:tc>
        <w:tc>
          <w:tcPr>
            <w:tcW w:w="326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Процедури щодо забезпечення процесу перевірок</w:t>
            </w:r>
          </w:p>
        </w:tc>
        <w:tc>
          <w:tcPr>
            <w:tcW w:w="210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 xml:space="preserve">72 </w:t>
            </w:r>
          </w:p>
          <w:p w:rsidR="006B14C5" w:rsidRDefault="00781348">
            <w:pPr>
              <w:jc w:val="center"/>
              <w:rPr>
                <w:color w:val="auto"/>
                <w:sz w:val="20"/>
                <w:lang w:val="uk-UA"/>
              </w:rPr>
            </w:pPr>
            <w:r>
              <w:rPr>
                <w:color w:val="auto"/>
                <w:sz w:val="20"/>
                <w:lang w:val="uk-UA"/>
              </w:rPr>
              <w:t>(36,11 х 2)</w:t>
            </w:r>
          </w:p>
        </w:tc>
        <w:tc>
          <w:tcPr>
            <w:tcW w:w="1807"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72</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360</w:t>
            </w:r>
          </w:p>
        </w:tc>
      </w:tr>
      <w:tr w:rsidR="006B14C5">
        <w:tc>
          <w:tcPr>
            <w:tcW w:w="5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13</w:t>
            </w:r>
          </w:p>
        </w:tc>
        <w:tc>
          <w:tcPr>
            <w:tcW w:w="326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Інші</w:t>
            </w:r>
          </w:p>
        </w:tc>
        <w:tc>
          <w:tcPr>
            <w:tcW w:w="210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807"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14</w:t>
            </w:r>
          </w:p>
        </w:tc>
        <w:tc>
          <w:tcPr>
            <w:tcW w:w="326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Разом, гривень</w:t>
            </w:r>
          </w:p>
        </w:tc>
        <w:tc>
          <w:tcPr>
            <w:tcW w:w="210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144</w:t>
            </w:r>
          </w:p>
        </w:tc>
        <w:tc>
          <w:tcPr>
            <w:tcW w:w="1807"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144</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720</w:t>
            </w:r>
          </w:p>
        </w:tc>
      </w:tr>
      <w:tr w:rsidR="006B14C5">
        <w:tc>
          <w:tcPr>
            <w:tcW w:w="5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15</w:t>
            </w:r>
          </w:p>
        </w:tc>
        <w:tc>
          <w:tcPr>
            <w:tcW w:w="326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Кількість суб’єктів малого підприємництва, що повинні виконати вимоги регулювання, одиниць</w:t>
            </w:r>
          </w:p>
        </w:tc>
        <w:tc>
          <w:tcPr>
            <w:tcW w:w="5723" w:type="dxa"/>
            <w:gridSpan w:val="5"/>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67</w:t>
            </w:r>
          </w:p>
        </w:tc>
      </w:tr>
      <w:tr w:rsidR="006B14C5">
        <w:tc>
          <w:tcPr>
            <w:tcW w:w="59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16</w:t>
            </w:r>
          </w:p>
        </w:tc>
        <w:tc>
          <w:tcPr>
            <w:tcW w:w="3264" w:type="dxa"/>
            <w:gridSpan w:val="2"/>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Сумарно, гривень</w:t>
            </w:r>
          </w:p>
        </w:tc>
        <w:tc>
          <w:tcPr>
            <w:tcW w:w="210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9648</w:t>
            </w:r>
          </w:p>
        </w:tc>
        <w:tc>
          <w:tcPr>
            <w:tcW w:w="1807" w:type="dxa"/>
            <w:gridSpan w:val="2"/>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9648</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48240</w:t>
            </w:r>
          </w:p>
        </w:tc>
      </w:tr>
    </w:tbl>
    <w:p w:rsidR="006B14C5" w:rsidRDefault="006B14C5">
      <w:pPr>
        <w:widowControl/>
        <w:suppressAutoHyphens w:val="0"/>
        <w:overflowPunct/>
        <w:jc w:val="left"/>
        <w:textAlignment w:val="auto"/>
        <w:rPr>
          <w:color w:val="auto"/>
          <w:szCs w:val="24"/>
          <w:lang w:val="uk-UA" w:eastAsia="ru-RU"/>
        </w:rPr>
      </w:pPr>
    </w:p>
    <w:p w:rsidR="006B14C5" w:rsidRDefault="00781348">
      <w:pPr>
        <w:ind w:firstLine="709"/>
        <w:rPr>
          <w:color w:val="auto"/>
          <w:szCs w:val="24"/>
          <w:lang w:val="uk-UA"/>
        </w:rPr>
      </w:pPr>
      <w:r>
        <w:rPr>
          <w:color w:val="auto"/>
          <w:szCs w:val="24"/>
          <w:lang w:val="uk-UA"/>
        </w:rPr>
        <w:t>Бюджетні витрати на адміністрування регулювання суб’єктів малого підприємництва відсутні.</w:t>
      </w:r>
    </w:p>
    <w:p w:rsidR="006B14C5" w:rsidRDefault="006B14C5">
      <w:pPr>
        <w:ind w:firstLine="709"/>
        <w:rPr>
          <w:color w:val="auto"/>
          <w:lang w:val="uk-UA"/>
        </w:rPr>
      </w:pPr>
    </w:p>
    <w:p w:rsidR="006B14C5" w:rsidRDefault="00781348">
      <w:pPr>
        <w:ind w:firstLine="709"/>
        <w:rPr>
          <w:color w:val="auto"/>
          <w:lang w:val="uk-UA"/>
        </w:rPr>
      </w:pPr>
      <w:r>
        <w:rPr>
          <w:b/>
          <w:color w:val="auto"/>
          <w:szCs w:val="24"/>
          <w:lang w:val="uk-UA"/>
        </w:rPr>
        <w:t>4. Розрахунок сумарних витрат суб’єктів малого підприємництва, що виникають на виконання вимог регулювання</w:t>
      </w:r>
    </w:p>
    <w:tbl>
      <w:tblPr>
        <w:tblW w:w="9581" w:type="dxa"/>
        <w:tblInd w:w="-5" w:type="dxa"/>
        <w:tblLayout w:type="fixed"/>
        <w:tblLook w:val="0000" w:firstRow="0" w:lastRow="0" w:firstColumn="0" w:lastColumn="0" w:noHBand="0" w:noVBand="0"/>
      </w:tblPr>
      <w:tblGrid>
        <w:gridCol w:w="531"/>
        <w:gridCol w:w="4254"/>
        <w:gridCol w:w="2396"/>
        <w:gridCol w:w="2400"/>
      </w:tblGrid>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w:t>
            </w:r>
          </w:p>
        </w:tc>
        <w:tc>
          <w:tcPr>
            <w:tcW w:w="4254"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 xml:space="preserve">Показник </w:t>
            </w:r>
          </w:p>
        </w:tc>
        <w:tc>
          <w:tcPr>
            <w:tcW w:w="239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Перший рік регулювання (стартовий), гривень</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За п’ять років, гривень</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1</w:t>
            </w:r>
          </w:p>
        </w:tc>
        <w:tc>
          <w:tcPr>
            <w:tcW w:w="4254"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Оцінка “прямих” витрат суб’єктів малого підприємництва на виконання регулювання</w:t>
            </w:r>
          </w:p>
        </w:tc>
        <w:tc>
          <w:tcPr>
            <w:tcW w:w="239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2</w:t>
            </w:r>
          </w:p>
        </w:tc>
        <w:tc>
          <w:tcPr>
            <w:tcW w:w="4254"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Оцінка вартості адміністративних процедур для суб’єктів малого підприємництва щодо виконання регулювання та звітування</w:t>
            </w:r>
          </w:p>
        </w:tc>
        <w:tc>
          <w:tcPr>
            <w:tcW w:w="239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9648</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48240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3</w:t>
            </w:r>
          </w:p>
        </w:tc>
        <w:tc>
          <w:tcPr>
            <w:tcW w:w="4254"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Сумарні витрати малого підприємництва на виконання запланованого регулювання</w:t>
            </w:r>
          </w:p>
        </w:tc>
        <w:tc>
          <w:tcPr>
            <w:tcW w:w="239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9648</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48240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4</w:t>
            </w:r>
          </w:p>
        </w:tc>
        <w:tc>
          <w:tcPr>
            <w:tcW w:w="4254"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 xml:space="preserve">Бюджетні витрати на адміністрування регулювання суб’єктів малого підприємництва </w:t>
            </w:r>
          </w:p>
        </w:tc>
        <w:tc>
          <w:tcPr>
            <w:tcW w:w="239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530"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5</w:t>
            </w:r>
          </w:p>
        </w:tc>
        <w:tc>
          <w:tcPr>
            <w:tcW w:w="4254"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Сумарні витрати на виконання запланованого регулювання</w:t>
            </w:r>
          </w:p>
        </w:tc>
        <w:tc>
          <w:tcPr>
            <w:tcW w:w="239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9648</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48240</w:t>
            </w:r>
          </w:p>
        </w:tc>
      </w:tr>
    </w:tbl>
    <w:p w:rsidR="006B14C5" w:rsidRDefault="006B14C5">
      <w:pPr>
        <w:widowControl/>
        <w:suppressAutoHyphens w:val="0"/>
        <w:overflowPunct/>
        <w:jc w:val="left"/>
        <w:textAlignment w:val="auto"/>
        <w:rPr>
          <w:color w:val="auto"/>
          <w:szCs w:val="24"/>
          <w:lang w:val="uk-UA" w:eastAsia="ru-RU"/>
        </w:rPr>
      </w:pPr>
    </w:p>
    <w:p w:rsidR="006B14C5" w:rsidRDefault="00781348">
      <w:pPr>
        <w:jc w:val="center"/>
        <w:rPr>
          <w:color w:val="auto"/>
          <w:lang w:val="uk-UA"/>
        </w:rPr>
      </w:pPr>
      <w:r>
        <w:rPr>
          <w:b/>
          <w:color w:val="auto"/>
          <w:szCs w:val="24"/>
          <w:lang w:val="uk-UA"/>
        </w:rPr>
        <w:t xml:space="preserve">5. Розроблення </w:t>
      </w:r>
      <w:proofErr w:type="spellStart"/>
      <w:r w:rsidRPr="00702405">
        <w:rPr>
          <w:b/>
          <w:color w:val="auto"/>
          <w:szCs w:val="24"/>
          <w:lang w:val="uk-UA"/>
        </w:rPr>
        <w:t>корегуючи</w:t>
      </w:r>
      <w:r w:rsidR="00702405" w:rsidRPr="00702405">
        <w:rPr>
          <w:b/>
          <w:color w:val="auto"/>
          <w:szCs w:val="24"/>
          <w:lang w:val="uk-UA"/>
        </w:rPr>
        <w:t>х</w:t>
      </w:r>
      <w:proofErr w:type="spellEnd"/>
      <w:r>
        <w:rPr>
          <w:b/>
          <w:color w:val="auto"/>
          <w:szCs w:val="24"/>
          <w:lang w:val="uk-UA"/>
        </w:rPr>
        <w:t xml:space="preserve"> (пом’якшувальних) заходів для малого підприємництва щодо запропонованого регулювання</w:t>
      </w:r>
    </w:p>
    <w:p w:rsidR="006B14C5" w:rsidRDefault="00781348">
      <w:pPr>
        <w:ind w:firstLine="709"/>
        <w:rPr>
          <w:color w:val="auto"/>
          <w:lang w:val="uk-UA"/>
        </w:rPr>
      </w:pPr>
      <w:r>
        <w:rPr>
          <w:color w:val="auto"/>
          <w:szCs w:val="24"/>
          <w:lang w:val="uk-UA"/>
        </w:rPr>
        <w:t>На основі аналізу статистичних даних визн</w:t>
      </w:r>
      <w:bookmarkStart w:id="8" w:name="_GoBack"/>
      <w:bookmarkEnd w:id="8"/>
      <w:r>
        <w:rPr>
          <w:color w:val="auto"/>
          <w:szCs w:val="24"/>
          <w:lang w:val="uk-UA"/>
        </w:rPr>
        <w:t>ачено, що зазначена сума є прийнятою для суб’єктів малого підприємництва і впровадження компенсаторних (пом’якшувальних) процедур не потребує.</w:t>
      </w:r>
    </w:p>
    <w:p w:rsidR="006B14C5" w:rsidRDefault="00781348">
      <w:pPr>
        <w:ind w:firstLine="709"/>
        <w:rPr>
          <w:color w:val="auto"/>
          <w:lang w:val="uk-UA"/>
        </w:rPr>
      </w:pPr>
      <w:r>
        <w:rPr>
          <w:color w:val="auto"/>
          <w:szCs w:val="24"/>
          <w:lang w:val="uk-UA"/>
        </w:rPr>
        <w:t>Виходячи з цього, повторна оцінка витрат суб’єктів малого підприємництва для скорегованих процедур складає:</w:t>
      </w:r>
    </w:p>
    <w:tbl>
      <w:tblPr>
        <w:tblW w:w="9454" w:type="dxa"/>
        <w:tblInd w:w="123" w:type="dxa"/>
        <w:tblLayout w:type="fixed"/>
        <w:tblLook w:val="0000" w:firstRow="0" w:lastRow="0" w:firstColumn="0" w:lastColumn="0" w:noHBand="0" w:noVBand="0"/>
      </w:tblPr>
      <w:tblGrid>
        <w:gridCol w:w="4366"/>
        <w:gridCol w:w="2700"/>
        <w:gridCol w:w="2388"/>
      </w:tblGrid>
      <w:tr w:rsidR="006B14C5">
        <w:tc>
          <w:tcPr>
            <w:tcW w:w="4366"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 xml:space="preserve">Показник </w:t>
            </w:r>
          </w:p>
        </w:tc>
        <w:tc>
          <w:tcPr>
            <w:tcW w:w="2700"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 xml:space="preserve">Сумарні витрати малого підприємництва на виконання запланованого </w:t>
            </w:r>
            <w:r>
              <w:rPr>
                <w:color w:val="auto"/>
                <w:sz w:val="20"/>
                <w:lang w:val="uk-UA"/>
              </w:rPr>
              <w:lastRenderedPageBreak/>
              <w:t>регулювання за перший рік, гривень</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lastRenderedPageBreak/>
              <w:t xml:space="preserve">Сумарні витрати малого підприємництва на виконання </w:t>
            </w:r>
            <w:r>
              <w:rPr>
                <w:color w:val="auto"/>
                <w:sz w:val="20"/>
                <w:lang w:val="uk-UA"/>
              </w:rPr>
              <w:lastRenderedPageBreak/>
              <w:t>запланованого регулювання за п’ять років, гривень</w:t>
            </w:r>
          </w:p>
        </w:tc>
      </w:tr>
      <w:tr w:rsidR="006B14C5">
        <w:tc>
          <w:tcPr>
            <w:tcW w:w="4366"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lastRenderedPageBreak/>
              <w:t>Заплановане регулювання</w:t>
            </w:r>
          </w:p>
        </w:tc>
        <w:tc>
          <w:tcPr>
            <w:tcW w:w="2700"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9648</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48240</w:t>
            </w:r>
          </w:p>
        </w:tc>
      </w:tr>
      <w:tr w:rsidR="006B14C5">
        <w:tc>
          <w:tcPr>
            <w:tcW w:w="4366"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За умов застосування компенсаторних механізмів для малого підприємництва</w:t>
            </w:r>
          </w:p>
        </w:tc>
        <w:tc>
          <w:tcPr>
            <w:tcW w:w="2700"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0</w:t>
            </w:r>
          </w:p>
        </w:tc>
      </w:tr>
      <w:tr w:rsidR="006B14C5">
        <w:tc>
          <w:tcPr>
            <w:tcW w:w="4366" w:type="dxa"/>
            <w:tcBorders>
              <w:top w:val="single" w:sz="4" w:space="0" w:color="000000"/>
              <w:left w:val="single" w:sz="4" w:space="0" w:color="000000"/>
              <w:bottom w:val="single" w:sz="4" w:space="0" w:color="000000"/>
            </w:tcBorders>
            <w:shd w:val="clear" w:color="auto" w:fill="auto"/>
          </w:tcPr>
          <w:p w:rsidR="006B14C5" w:rsidRDefault="00781348">
            <w:pPr>
              <w:rPr>
                <w:color w:val="auto"/>
                <w:sz w:val="20"/>
                <w:lang w:val="uk-UA"/>
              </w:rPr>
            </w:pPr>
            <w:r>
              <w:rPr>
                <w:color w:val="auto"/>
                <w:sz w:val="20"/>
                <w:lang w:val="uk-UA"/>
              </w:rPr>
              <w:t>Сумарно: зміна вартості регулювання малого підприємництва</w:t>
            </w:r>
          </w:p>
        </w:tc>
        <w:tc>
          <w:tcPr>
            <w:tcW w:w="2700" w:type="dxa"/>
            <w:tcBorders>
              <w:top w:val="single" w:sz="4" w:space="0" w:color="000000"/>
              <w:left w:val="single" w:sz="4" w:space="0" w:color="000000"/>
              <w:bottom w:val="single" w:sz="4" w:space="0" w:color="000000"/>
            </w:tcBorders>
            <w:shd w:val="clear" w:color="auto" w:fill="auto"/>
          </w:tcPr>
          <w:p w:rsidR="006B14C5" w:rsidRDefault="00781348">
            <w:pPr>
              <w:jc w:val="center"/>
              <w:rPr>
                <w:color w:val="auto"/>
                <w:sz w:val="20"/>
                <w:lang w:val="uk-UA"/>
              </w:rPr>
            </w:pPr>
            <w:r>
              <w:rPr>
                <w:color w:val="auto"/>
                <w:sz w:val="20"/>
                <w:lang w:val="uk-UA"/>
              </w:rPr>
              <w:t>9648</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6B14C5" w:rsidRDefault="00781348">
            <w:pPr>
              <w:jc w:val="center"/>
              <w:rPr>
                <w:color w:val="auto"/>
                <w:sz w:val="20"/>
                <w:lang w:val="uk-UA"/>
              </w:rPr>
            </w:pPr>
            <w:r>
              <w:rPr>
                <w:color w:val="auto"/>
                <w:sz w:val="20"/>
                <w:lang w:val="uk-UA"/>
              </w:rPr>
              <w:t>48240</w:t>
            </w:r>
          </w:p>
        </w:tc>
      </w:tr>
    </w:tbl>
    <w:p w:rsidR="006B14C5" w:rsidRDefault="006B14C5">
      <w:pPr>
        <w:ind w:firstLine="709"/>
        <w:rPr>
          <w:color w:val="auto"/>
          <w:szCs w:val="24"/>
          <w:lang w:val="uk-UA"/>
        </w:rPr>
      </w:pPr>
    </w:p>
    <w:p w:rsidR="006B14C5" w:rsidRDefault="00781348">
      <w:pPr>
        <w:ind w:firstLine="708"/>
        <w:rPr>
          <w:color w:val="auto"/>
          <w:szCs w:val="24"/>
          <w:lang w:val="uk-UA"/>
        </w:rPr>
      </w:pPr>
      <w:r>
        <w:rPr>
          <w:color w:val="auto"/>
          <w:szCs w:val="24"/>
          <w:lang w:val="uk-UA"/>
        </w:rPr>
        <w:t>М-Тест розроблено відділом архітектури та містобудування Авдіївської міської військово-цивільної адміністрації Покровського району Донецької області.</w:t>
      </w:r>
    </w:p>
    <w:p w:rsidR="006B14C5" w:rsidRDefault="006B14C5">
      <w:pPr>
        <w:tabs>
          <w:tab w:val="left" w:pos="742"/>
        </w:tabs>
        <w:rPr>
          <w:color w:val="auto"/>
          <w:szCs w:val="24"/>
          <w:lang w:val="uk-UA"/>
        </w:rPr>
      </w:pPr>
    </w:p>
    <w:p w:rsidR="006B14C5" w:rsidRDefault="006B14C5">
      <w:pPr>
        <w:tabs>
          <w:tab w:val="left" w:pos="742"/>
        </w:tabs>
        <w:rPr>
          <w:color w:val="auto"/>
          <w:szCs w:val="24"/>
          <w:lang w:val="uk-UA"/>
        </w:rPr>
      </w:pPr>
    </w:p>
    <w:sectPr w:rsidR="006B14C5">
      <w:headerReference w:type="default" r:id="rId8"/>
      <w:pgSz w:w="11906" w:h="16838"/>
      <w:pgMar w:top="1548" w:right="567" w:bottom="1134" w:left="1701"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DC" w:rsidRDefault="004D1BDC">
      <w:r>
        <w:separator/>
      </w:r>
    </w:p>
  </w:endnote>
  <w:endnote w:type="continuationSeparator" w:id="0">
    <w:p w:rsidR="004D1BDC" w:rsidRDefault="004D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Marath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PT Astra Serif">
    <w:altName w:val="Times New Roman"/>
    <w:charset w:val="01"/>
    <w:family w:val="roman"/>
    <w:pitch w:val="variable"/>
  </w:font>
  <w:font w:name="WenQuanYi Zen Hei;Times New Rom">
    <w:panose1 w:val="00000000000000000000"/>
    <w:charset w:val="00"/>
    <w:family w:val="roman"/>
    <w:notTrueType/>
    <w:pitch w:val="default"/>
  </w:font>
  <w:font w:name="Lohit Marathi;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DC" w:rsidRDefault="004D1BDC">
      <w:r>
        <w:separator/>
      </w:r>
    </w:p>
  </w:footnote>
  <w:footnote w:type="continuationSeparator" w:id="0">
    <w:p w:rsidR="004D1BDC" w:rsidRDefault="004D1B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4A" w:rsidRDefault="005C0E4A">
    <w:pPr>
      <w:pStyle w:val="af5"/>
      <w:jc w:val="center"/>
    </w:pPr>
    <w:r>
      <w:fldChar w:fldCharType="begin"/>
    </w:r>
    <w:r>
      <w:instrText>PAGE</w:instrText>
    </w:r>
    <w:r>
      <w:fldChar w:fldCharType="separate"/>
    </w:r>
    <w:r w:rsidR="00702405">
      <w:rPr>
        <w:noProof/>
      </w:rPr>
      <w:t>10</w:t>
    </w:r>
    <w:r>
      <w:fldChar w:fldCharType="end"/>
    </w:r>
  </w:p>
  <w:p w:rsidR="005C0E4A" w:rsidRDefault="005C0E4A">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AF9"/>
    <w:multiLevelType w:val="multilevel"/>
    <w:tmpl w:val="3F12FC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513FEC"/>
    <w:multiLevelType w:val="multilevel"/>
    <w:tmpl w:val="286AB8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8637D8"/>
    <w:multiLevelType w:val="multilevel"/>
    <w:tmpl w:val="187832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1756E7E"/>
    <w:multiLevelType w:val="multilevel"/>
    <w:tmpl w:val="54D62E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2FE4478"/>
    <w:multiLevelType w:val="multilevel"/>
    <w:tmpl w:val="D4B84B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C5"/>
    <w:rsid w:val="00031EA5"/>
    <w:rsid w:val="00041047"/>
    <w:rsid w:val="000B3457"/>
    <w:rsid w:val="00124449"/>
    <w:rsid w:val="00144516"/>
    <w:rsid w:val="001C6DE0"/>
    <w:rsid w:val="0022003B"/>
    <w:rsid w:val="0022503F"/>
    <w:rsid w:val="002674E2"/>
    <w:rsid w:val="002B0E9E"/>
    <w:rsid w:val="002B4A02"/>
    <w:rsid w:val="00327263"/>
    <w:rsid w:val="00353C3D"/>
    <w:rsid w:val="0036237D"/>
    <w:rsid w:val="00387AC5"/>
    <w:rsid w:val="003B7BCC"/>
    <w:rsid w:val="00467968"/>
    <w:rsid w:val="004D1BDC"/>
    <w:rsid w:val="004E1781"/>
    <w:rsid w:val="0052569E"/>
    <w:rsid w:val="00560D93"/>
    <w:rsid w:val="00591732"/>
    <w:rsid w:val="005B38A6"/>
    <w:rsid w:val="005B6151"/>
    <w:rsid w:val="005C0E4A"/>
    <w:rsid w:val="005C27BF"/>
    <w:rsid w:val="005E0A89"/>
    <w:rsid w:val="006B14C5"/>
    <w:rsid w:val="00700FE2"/>
    <w:rsid w:val="00702405"/>
    <w:rsid w:val="00752FAB"/>
    <w:rsid w:val="00781348"/>
    <w:rsid w:val="007C7276"/>
    <w:rsid w:val="00832816"/>
    <w:rsid w:val="00A6616D"/>
    <w:rsid w:val="00BA1E62"/>
    <w:rsid w:val="00BD58F7"/>
    <w:rsid w:val="00C63922"/>
    <w:rsid w:val="00D27CD2"/>
    <w:rsid w:val="00D40CB2"/>
    <w:rsid w:val="00D84133"/>
    <w:rsid w:val="00DA2654"/>
    <w:rsid w:val="00E27EC0"/>
    <w:rsid w:val="00E42A28"/>
    <w:rsid w:val="00E444A0"/>
    <w:rsid w:val="00E6295D"/>
    <w:rsid w:val="00E8170B"/>
    <w:rsid w:val="00E87AD9"/>
    <w:rsid w:val="00F15D74"/>
    <w:rsid w:val="00F34814"/>
    <w:rsid w:val="00F76A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C994"/>
  <w15:docId w15:val="{65D283E9-270C-493A-9281-CE830529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Marathi"/>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Times New Roman" w:hAnsi="Times New Roman" w:cs="Times New Roman"/>
      <w:color w:val="000000"/>
      <w:sz w:val="2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color w:val="000000"/>
      <w:szCs w:val="28"/>
    </w:rPr>
  </w:style>
  <w:style w:type="character" w:customStyle="1" w:styleId="WW8Num1z1">
    <w:name w:val="WW8Num1z1"/>
    <w:qFormat/>
    <w:rPr>
      <w:rFonts w:ascii="OpenSymbol" w:hAnsi="OpenSymbol" w:cs="OpenSymbol"/>
    </w:rPr>
  </w:style>
  <w:style w:type="character" w:customStyle="1" w:styleId="WW8Num2z0">
    <w:name w:val="WW8Num2z0"/>
    <w:qFormat/>
    <w:rPr>
      <w:rFonts w:ascii="Symbol" w:hAnsi="Symbol" w:cs="OpenSymbol"/>
      <w:szCs w:val="28"/>
    </w:rPr>
  </w:style>
  <w:style w:type="character" w:customStyle="1" w:styleId="WW8Num2z1">
    <w:name w:val="WW8Num2z1"/>
    <w:qFormat/>
    <w:rPr>
      <w:rFonts w:ascii="OpenSymbol" w:hAnsi="OpenSymbol" w:cs="OpenSymbol"/>
    </w:rPr>
  </w:style>
  <w:style w:type="character" w:customStyle="1" w:styleId="WW8Num3z0">
    <w:name w:val="WW8Num3z0"/>
    <w:qFormat/>
    <w:rPr>
      <w:rFonts w:ascii="Symbol" w:hAnsi="Symbol" w:cs="OpenSymbol"/>
    </w:rPr>
  </w:style>
  <w:style w:type="character" w:customStyle="1" w:styleId="WW8Num3z1">
    <w:name w:val="WW8Num3z1"/>
    <w:qFormat/>
    <w:rPr>
      <w:rFonts w:ascii="OpenSymbol" w:hAnsi="OpenSymbol" w:cs="Open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2z2">
    <w:name w:val="WW8Num2z2"/>
    <w:qFormat/>
    <w:rPr>
      <w:rFonts w:ascii="Times New Roman" w:hAnsi="Times New Roman" w:cs="Times New Roman"/>
      <w:i w:val="0"/>
      <w:caps w:val="0"/>
      <w:smallCaps w:val="0"/>
      <w:color w:val="000000"/>
      <w:spacing w:val="0"/>
      <w:w w:val="100"/>
      <w:position w:val="0"/>
      <w:sz w:val="20"/>
      <w:shd w:val="clear" w:color="auto" w:fill="FFFFFF"/>
      <w:vertAlign w:val="baseline"/>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color w:val="000000"/>
      <w:sz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lang w:val="uk-UA"/>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rPr>
      <w:rFonts w:ascii="Courier New" w:hAnsi="Courier New" w:cs="Courier New"/>
      <w:sz w:val="2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sz w:val="20"/>
    </w:rPr>
  </w:style>
  <w:style w:type="character" w:customStyle="1" w:styleId="WW8Num17z1">
    <w:name w:val="WW8Num17z1"/>
    <w:qFormat/>
    <w:rPr>
      <w:rFonts w:ascii="Courier New" w:hAnsi="Courier New" w:cs="Courier New"/>
      <w:sz w:val="20"/>
    </w:rPr>
  </w:style>
  <w:style w:type="character" w:customStyle="1" w:styleId="WW8Num17z2">
    <w:name w:val="WW8Num17z2"/>
    <w:qFormat/>
    <w:rPr>
      <w:rFonts w:ascii="Wingdings" w:hAnsi="Wingdings" w:cs="Wingdings"/>
      <w:sz w:val="20"/>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b/>
      <w:color w:val="000000"/>
      <w:u w:val="single"/>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color w:val="000000"/>
      <w:u w:val="single"/>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Arial Unicode MS"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sz w:val="20"/>
    </w:rPr>
  </w:style>
  <w:style w:type="character" w:customStyle="1" w:styleId="WW8Num23z2">
    <w:name w:val="WW8Num23z2"/>
    <w:qFormat/>
    <w:rPr>
      <w:rFonts w:ascii="Wingdings" w:hAnsi="Wingdings" w:cs="Wingdings"/>
      <w:sz w:val="20"/>
    </w:rPr>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1">
    <w:name w:val="Основной шрифт абзаца1"/>
    <w:qFormat/>
  </w:style>
  <w:style w:type="character" w:customStyle="1" w:styleId="-">
    <w:name w:val="Интернет-ссылка"/>
    <w:rPr>
      <w:strike w:val="0"/>
      <w:dstrike w:val="0"/>
      <w:color w:val="006699"/>
      <w:u w:val="none"/>
    </w:rPr>
  </w:style>
  <w:style w:type="character" w:customStyle="1" w:styleId="rvts23">
    <w:name w:val="rvts23"/>
    <w:basedOn w:val="1"/>
    <w:qFormat/>
  </w:style>
  <w:style w:type="character" w:customStyle="1" w:styleId="a3">
    <w:name w:val="Основной текст Знак"/>
    <w:qFormat/>
    <w:rPr>
      <w:rFonts w:ascii="PT Astra Serif" w:eastAsia="WenQuanYi Zen Hei;Times New Rom" w:hAnsi="PT Astra Serif" w:cs="Lohit Marathi;Times New Roman"/>
      <w:sz w:val="28"/>
      <w:szCs w:val="24"/>
      <w:lang w:val="uk-UA" w:eastAsia="zh-CN" w:bidi="hi-IN"/>
    </w:rPr>
  </w:style>
  <w:style w:type="character" w:customStyle="1" w:styleId="2">
    <w:name w:val="Подпись к таблице (2)_"/>
    <w:qFormat/>
    <w:rPr>
      <w:shd w:val="clear" w:color="auto" w:fill="FFFFFF"/>
    </w:rPr>
  </w:style>
  <w:style w:type="character" w:customStyle="1" w:styleId="FontStyle44">
    <w:name w:val="Font Style44"/>
    <w:qFormat/>
    <w:rPr>
      <w:rFonts w:ascii="Times New Roman" w:hAnsi="Times New Roman" w:cs="Times New Roman"/>
      <w:sz w:val="24"/>
      <w:szCs w:val="24"/>
    </w:rPr>
  </w:style>
  <w:style w:type="character" w:customStyle="1" w:styleId="FontStyle41">
    <w:name w:val="Font Style41"/>
    <w:qFormat/>
    <w:rPr>
      <w:rFonts w:ascii="Times New Roman" w:hAnsi="Times New Roman" w:cs="Times New Roman"/>
      <w:b/>
      <w:bCs/>
      <w:sz w:val="22"/>
      <w:szCs w:val="22"/>
    </w:rPr>
  </w:style>
  <w:style w:type="character" w:customStyle="1" w:styleId="rvts15">
    <w:name w:val="rvts15"/>
    <w:basedOn w:val="1"/>
    <w:qFormat/>
  </w:style>
  <w:style w:type="character" w:customStyle="1" w:styleId="a4">
    <w:name w:val="Основной текст с отступом Знак"/>
    <w:qFormat/>
    <w:rPr>
      <w:color w:val="000000"/>
      <w:sz w:val="24"/>
    </w:rPr>
  </w:style>
  <w:style w:type="character" w:customStyle="1" w:styleId="rvts0">
    <w:name w:val="rvts0"/>
    <w:basedOn w:val="1"/>
    <w:qFormat/>
  </w:style>
  <w:style w:type="character" w:customStyle="1" w:styleId="20">
    <w:name w:val="Основной текст (2)_"/>
    <w:qFormat/>
    <w:rPr>
      <w:shd w:val="clear" w:color="auto" w:fill="FFFFFF"/>
    </w:rPr>
  </w:style>
  <w:style w:type="character" w:customStyle="1" w:styleId="4">
    <w:name w:val="Основной текст (4)_"/>
    <w:qFormat/>
    <w:rPr>
      <w:i/>
      <w:iCs/>
      <w:shd w:val="clear" w:color="auto" w:fill="FFFFFF"/>
    </w:rPr>
  </w:style>
  <w:style w:type="character" w:customStyle="1" w:styleId="21">
    <w:name w:val="Основной текст (2)"/>
    <w:qFormat/>
    <w:rPr>
      <w:rFonts w:ascii="Times New Roman" w:hAnsi="Times New Roman" w:cs="Times New Roman"/>
      <w:shd w:val="clear" w:color="auto" w:fill="FFFFFF"/>
    </w:rPr>
  </w:style>
  <w:style w:type="character" w:customStyle="1" w:styleId="3">
    <w:name w:val="Основной текст (3)_"/>
    <w:qFormat/>
    <w:rPr>
      <w:shd w:val="clear" w:color="auto" w:fill="FFFFFF"/>
    </w:rPr>
  </w:style>
  <w:style w:type="character" w:customStyle="1" w:styleId="apple-converted-space">
    <w:name w:val="apple-converted-space"/>
    <w:basedOn w:val="1"/>
    <w:qFormat/>
  </w:style>
  <w:style w:type="character" w:customStyle="1" w:styleId="a5">
    <w:name w:val="Маркеры списка"/>
    <w:qFormat/>
    <w:rPr>
      <w:rFonts w:ascii="OpenSymbol" w:eastAsia="OpenSymbol" w:hAnsi="OpenSymbol" w:cs="OpenSymbol"/>
    </w:rPr>
  </w:style>
  <w:style w:type="character" w:customStyle="1" w:styleId="a6">
    <w:name w:val="Текст выноски Знак"/>
    <w:qFormat/>
    <w:rPr>
      <w:rFonts w:ascii="Segoe UI" w:hAnsi="Segoe UI" w:cs="Segoe UI"/>
      <w:color w:val="000000"/>
      <w:sz w:val="18"/>
      <w:szCs w:val="18"/>
      <w:lang w:eastAsia="zh-CN"/>
    </w:rPr>
  </w:style>
  <w:style w:type="character" w:customStyle="1" w:styleId="a7">
    <w:name w:val="Верхний колонтитул Знак"/>
    <w:qFormat/>
    <w:rPr>
      <w:color w:val="000000"/>
      <w:sz w:val="24"/>
      <w:lang w:eastAsia="zh-CN"/>
    </w:rPr>
  </w:style>
  <w:style w:type="character" w:customStyle="1" w:styleId="a8">
    <w:name w:val="Нижний колонтитул Знак"/>
    <w:qFormat/>
    <w:rPr>
      <w:color w:val="000000"/>
      <w:sz w:val="24"/>
      <w:lang w:eastAsia="zh-CN"/>
    </w:rPr>
  </w:style>
  <w:style w:type="character" w:customStyle="1" w:styleId="rvts82">
    <w:name w:val="rvts82"/>
    <w:basedOn w:val="a0"/>
    <w:qFormat/>
    <w:rsid w:val="00026CF0"/>
  </w:style>
  <w:style w:type="character" w:customStyle="1" w:styleId="rvts11">
    <w:name w:val="rvts11"/>
    <w:basedOn w:val="a0"/>
    <w:qFormat/>
    <w:rsid w:val="00F456A4"/>
  </w:style>
  <w:style w:type="paragraph" w:styleId="a9">
    <w:name w:val="Title"/>
    <w:basedOn w:val="a"/>
    <w:next w:val="aa"/>
    <w:qFormat/>
    <w:pPr>
      <w:keepNext/>
      <w:spacing w:before="240" w:after="120"/>
    </w:pPr>
    <w:rPr>
      <w:rFonts w:ascii="Liberation Sans" w:eastAsia="Noto Sans CJK SC" w:hAnsi="Liberation Sans" w:cs="Lohit Marathi"/>
      <w:sz w:val="28"/>
      <w:szCs w:val="28"/>
    </w:rPr>
  </w:style>
  <w:style w:type="paragraph" w:styleId="aa">
    <w:name w:val="Body Text"/>
    <w:basedOn w:val="a"/>
    <w:pPr>
      <w:widowControl/>
      <w:overflowPunct/>
      <w:spacing w:after="140" w:line="288" w:lineRule="auto"/>
      <w:jc w:val="left"/>
      <w:textAlignment w:val="auto"/>
    </w:pPr>
    <w:rPr>
      <w:rFonts w:ascii="PT Astra Serif" w:eastAsia="WenQuanYi Zen Hei;Times New Rom" w:hAnsi="PT Astra Serif" w:cs="Lohit Marathi;Times New Roman"/>
      <w:sz w:val="28"/>
      <w:szCs w:val="24"/>
      <w:lang w:val="uk-UA" w:bidi="hi-IN"/>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Cs w:val="24"/>
    </w:rPr>
  </w:style>
  <w:style w:type="paragraph" w:styleId="ad">
    <w:name w:val="index heading"/>
    <w:basedOn w:val="a"/>
    <w:qFormat/>
    <w:pPr>
      <w:suppressLineNumbers/>
    </w:pPr>
    <w:rPr>
      <w:rFonts w:cs="Lohit Marathi"/>
    </w:rPr>
  </w:style>
  <w:style w:type="paragraph" w:customStyle="1" w:styleId="10">
    <w:name w:val="Заголовок1"/>
    <w:basedOn w:val="a"/>
    <w:qFormat/>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pPr>
      <w:suppressLineNumbers/>
    </w:pPr>
    <w:rPr>
      <w:rFonts w:cs="Mangal"/>
    </w:rPr>
  </w:style>
  <w:style w:type="paragraph" w:styleId="ae">
    <w:name w:val="Normal (Web)"/>
    <w:basedOn w:val="a"/>
    <w:qFormat/>
    <w:pPr>
      <w:widowControl/>
      <w:suppressAutoHyphens w:val="0"/>
      <w:overflowPunct/>
      <w:spacing w:before="280" w:after="280"/>
      <w:jc w:val="left"/>
      <w:textAlignment w:val="auto"/>
    </w:pPr>
    <w:rPr>
      <w:szCs w:val="24"/>
    </w:rPr>
  </w:style>
  <w:style w:type="paragraph" w:styleId="af">
    <w:name w:val="List Paragraph"/>
    <w:basedOn w:val="a"/>
    <w:qFormat/>
    <w:pPr>
      <w:ind w:left="708"/>
    </w:pPr>
  </w:style>
  <w:style w:type="paragraph" w:customStyle="1" w:styleId="Standard">
    <w:name w:val="Standard"/>
    <w:basedOn w:val="a"/>
    <w:qFormat/>
    <w:pPr>
      <w:overflowPunct/>
      <w:jc w:val="left"/>
      <w:textAlignment w:val="auto"/>
    </w:pPr>
    <w:rPr>
      <w:rFonts w:eastAsia="SimSun;宋体"/>
      <w:sz w:val="20"/>
      <w:lang w:val="uk-UA"/>
    </w:rPr>
  </w:style>
  <w:style w:type="paragraph" w:customStyle="1" w:styleId="af0">
    <w:name w:val="Содержимое таблицы"/>
    <w:basedOn w:val="a"/>
    <w:qFormat/>
    <w:pPr>
      <w:widowControl/>
      <w:suppressLineNumbers/>
      <w:overflowPunct/>
      <w:jc w:val="left"/>
      <w:textAlignment w:val="auto"/>
    </w:pPr>
    <w:rPr>
      <w:rFonts w:ascii="PT Astra Serif" w:eastAsia="WenQuanYi Zen Hei;Times New Rom" w:hAnsi="PT Astra Serif" w:cs="Lohit Marathi;Times New Roman"/>
      <w:sz w:val="28"/>
      <w:szCs w:val="24"/>
      <w:lang w:val="uk-UA" w:bidi="hi-IN"/>
    </w:rPr>
  </w:style>
  <w:style w:type="paragraph" w:customStyle="1" w:styleId="22">
    <w:name w:val="Подпись к таблице (2)"/>
    <w:basedOn w:val="a"/>
    <w:qFormat/>
    <w:pPr>
      <w:shd w:val="clear" w:color="auto" w:fill="FFFFFF"/>
      <w:suppressAutoHyphens w:val="0"/>
      <w:overflowPunct/>
      <w:spacing w:line="283" w:lineRule="exact"/>
      <w:ind w:firstLine="720"/>
      <w:jc w:val="left"/>
      <w:textAlignment w:val="auto"/>
    </w:pPr>
    <w:rPr>
      <w:sz w:val="20"/>
    </w:rPr>
  </w:style>
  <w:style w:type="paragraph" w:customStyle="1" w:styleId="Style21">
    <w:name w:val="Style21"/>
    <w:basedOn w:val="a"/>
    <w:qFormat/>
    <w:pPr>
      <w:suppressAutoHyphens w:val="0"/>
      <w:overflowPunct/>
      <w:spacing w:line="324" w:lineRule="exact"/>
      <w:ind w:firstLine="696"/>
      <w:jc w:val="left"/>
      <w:textAlignment w:val="auto"/>
    </w:pPr>
    <w:rPr>
      <w:szCs w:val="24"/>
      <w:lang w:val="uk-UA"/>
    </w:rPr>
  </w:style>
  <w:style w:type="paragraph" w:customStyle="1" w:styleId="Default">
    <w:name w:val="Default"/>
    <w:qFormat/>
    <w:rPr>
      <w:rFonts w:ascii="Times New Roman" w:eastAsia="Times New Roman" w:hAnsi="Times New Roman" w:cs="Times New Roman"/>
      <w:color w:val="000000"/>
      <w:sz w:val="24"/>
      <w:lang w:bidi="ar-SA"/>
    </w:rPr>
  </w:style>
  <w:style w:type="paragraph" w:styleId="af1">
    <w:name w:val="Body Text Indent"/>
    <w:basedOn w:val="a"/>
    <w:pPr>
      <w:spacing w:after="120"/>
      <w:ind w:left="283"/>
    </w:pPr>
  </w:style>
  <w:style w:type="paragraph" w:customStyle="1" w:styleId="Style18">
    <w:name w:val="Style18"/>
    <w:basedOn w:val="a"/>
    <w:qFormat/>
    <w:pPr>
      <w:suppressAutoHyphens w:val="0"/>
      <w:overflowPunct/>
      <w:spacing w:line="322" w:lineRule="exact"/>
      <w:ind w:firstLine="691"/>
      <w:textAlignment w:val="auto"/>
    </w:pPr>
    <w:rPr>
      <w:szCs w:val="24"/>
      <w:lang w:val="uk-UA"/>
    </w:rPr>
  </w:style>
  <w:style w:type="paragraph" w:customStyle="1" w:styleId="210">
    <w:name w:val="Основной текст (2)1"/>
    <w:basedOn w:val="a"/>
    <w:qFormat/>
    <w:pPr>
      <w:shd w:val="clear" w:color="auto" w:fill="FFFFFF"/>
      <w:suppressAutoHyphens w:val="0"/>
      <w:overflowPunct/>
      <w:spacing w:before="480" w:after="240" w:line="274" w:lineRule="exact"/>
      <w:ind w:hanging="360"/>
      <w:textAlignment w:val="auto"/>
    </w:pPr>
    <w:rPr>
      <w:sz w:val="20"/>
    </w:rPr>
  </w:style>
  <w:style w:type="paragraph" w:customStyle="1" w:styleId="40">
    <w:name w:val="Основной текст (4)"/>
    <w:basedOn w:val="a"/>
    <w:qFormat/>
    <w:pPr>
      <w:shd w:val="clear" w:color="auto" w:fill="FFFFFF"/>
      <w:suppressAutoHyphens w:val="0"/>
      <w:overflowPunct/>
      <w:spacing w:before="240" w:line="274" w:lineRule="exact"/>
      <w:ind w:firstLine="740"/>
      <w:textAlignment w:val="auto"/>
    </w:pPr>
    <w:rPr>
      <w:b/>
      <w:bCs/>
      <w:i/>
      <w:iCs/>
      <w:sz w:val="20"/>
    </w:rPr>
  </w:style>
  <w:style w:type="paragraph" w:customStyle="1" w:styleId="30">
    <w:name w:val="Основной текст (3)"/>
    <w:basedOn w:val="a"/>
    <w:qFormat/>
    <w:pPr>
      <w:shd w:val="clear" w:color="auto" w:fill="FFFFFF"/>
      <w:suppressAutoHyphens w:val="0"/>
      <w:overflowPunct/>
      <w:spacing w:after="480" w:line="274" w:lineRule="exact"/>
      <w:jc w:val="center"/>
      <w:textAlignment w:val="auto"/>
    </w:pPr>
    <w:rPr>
      <w:b/>
      <w:bCs/>
      <w:sz w:val="20"/>
    </w:rPr>
  </w:style>
  <w:style w:type="paragraph" w:customStyle="1" w:styleId="rvps2">
    <w:name w:val="rvps2"/>
    <w:basedOn w:val="a"/>
    <w:qFormat/>
    <w:pPr>
      <w:widowControl/>
      <w:suppressAutoHyphens w:val="0"/>
      <w:overflowPunct/>
      <w:spacing w:before="280" w:after="280"/>
      <w:jc w:val="left"/>
      <w:textAlignment w:val="auto"/>
    </w:pPr>
    <w:rPr>
      <w:szCs w:val="24"/>
    </w:rPr>
  </w:style>
  <w:style w:type="paragraph" w:customStyle="1" w:styleId="af2">
    <w:name w:val="Заголовок таблицы"/>
    <w:basedOn w:val="af0"/>
    <w:qFormat/>
    <w:pPr>
      <w:jc w:val="center"/>
    </w:pPr>
    <w:rPr>
      <w:b/>
      <w:bCs/>
    </w:rPr>
  </w:style>
  <w:style w:type="paragraph" w:styleId="af3">
    <w:name w:val="Balloon Text"/>
    <w:basedOn w:val="a"/>
    <w:qFormat/>
    <w:rPr>
      <w:rFonts w:ascii="Segoe UI" w:hAnsi="Segoe UI" w:cs="Segoe UI"/>
      <w:sz w:val="18"/>
      <w:szCs w:val="18"/>
    </w:rPr>
  </w:style>
  <w:style w:type="paragraph" w:customStyle="1" w:styleId="af4">
    <w:name w:val="Верхний и нижний колонтитулы"/>
    <w:basedOn w:val="a"/>
    <w:qFormat/>
    <w:pPr>
      <w:suppressLineNumbers/>
      <w:tabs>
        <w:tab w:val="center" w:pos="4819"/>
        <w:tab w:val="right" w:pos="9638"/>
      </w:tabs>
    </w:p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customStyle="1" w:styleId="rvps12">
    <w:name w:val="rvps12"/>
    <w:basedOn w:val="a"/>
    <w:qFormat/>
    <w:rsid w:val="00026CF0"/>
    <w:pPr>
      <w:widowControl/>
      <w:suppressAutoHyphens w:val="0"/>
      <w:overflowPunct/>
      <w:spacing w:beforeAutospacing="1" w:afterAutospacing="1"/>
      <w:jc w:val="left"/>
      <w:textAlignment w:val="auto"/>
    </w:pPr>
    <w:rPr>
      <w:color w:val="auto"/>
      <w:szCs w:val="24"/>
      <w:lang w:eastAsia="ru-RU"/>
    </w:rPr>
  </w:style>
  <w:style w:type="paragraph" w:customStyle="1" w:styleId="rvps14">
    <w:name w:val="rvps14"/>
    <w:basedOn w:val="a"/>
    <w:qFormat/>
    <w:rsid w:val="00026CF0"/>
    <w:pPr>
      <w:widowControl/>
      <w:suppressAutoHyphens w:val="0"/>
      <w:overflowPunct/>
      <w:spacing w:beforeAutospacing="1" w:afterAutospacing="1"/>
      <w:jc w:val="left"/>
      <w:textAlignment w:val="auto"/>
    </w:pPr>
    <w:rPr>
      <w:color w:val="auto"/>
      <w:szCs w:val="24"/>
      <w:lang w:eastAsia="ru-RU"/>
    </w:rPr>
  </w:style>
  <w:style w:type="paragraph" w:customStyle="1" w:styleId="rvps3">
    <w:name w:val="rvps3"/>
    <w:basedOn w:val="a"/>
    <w:qFormat/>
    <w:rsid w:val="00026CF0"/>
    <w:pPr>
      <w:widowControl/>
      <w:suppressAutoHyphens w:val="0"/>
      <w:overflowPunct/>
      <w:spacing w:beforeAutospacing="1" w:afterAutospacing="1"/>
      <w:jc w:val="left"/>
      <w:textAlignment w:val="auto"/>
    </w:pPr>
    <w:rPr>
      <w:color w:val="auto"/>
      <w:szCs w:val="24"/>
      <w:lang w:eastAsia="ru-RU"/>
    </w:rPr>
  </w:style>
  <w:style w:type="paragraph" w:customStyle="1" w:styleId="rvps8">
    <w:name w:val="rvps8"/>
    <w:basedOn w:val="a"/>
    <w:qFormat/>
    <w:rsid w:val="00026CF0"/>
    <w:pPr>
      <w:widowControl/>
      <w:suppressAutoHyphens w:val="0"/>
      <w:overflowPunct/>
      <w:spacing w:beforeAutospacing="1" w:afterAutospacing="1"/>
      <w:jc w:val="left"/>
      <w:textAlignment w:val="auto"/>
    </w:pPr>
    <w:rPr>
      <w:color w:val="auto"/>
      <w:szCs w:val="24"/>
      <w:lang w:eastAsia="ru-RU"/>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af7">
    <w:name w:val="Table Grid"/>
    <w:basedOn w:val="a1"/>
    <w:uiPriority w:val="39"/>
    <w:rsid w:val="0002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CC46-6C1E-4BD5-A21D-B6D46A8F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10</Pages>
  <Words>13464</Words>
  <Characters>7675</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Admin</dc:creator>
  <cp:keywords>  </cp:keywords>
  <dc:description/>
  <cp:lastModifiedBy>Geo_Avdiivka_MR</cp:lastModifiedBy>
  <cp:revision>329</cp:revision>
  <cp:lastPrinted>2021-03-22T06:16:00Z</cp:lastPrinted>
  <dcterms:created xsi:type="dcterms:W3CDTF">1995-11-21T18:41:00Z</dcterms:created>
  <dcterms:modified xsi:type="dcterms:W3CDTF">2021-04-30T06:52:00Z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