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38B" w:rsidRPr="00933BE9" w:rsidRDefault="0099638B" w:rsidP="0099638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ЗАЯВА</w:t>
      </w:r>
    </w:p>
    <w:p w:rsidR="0099638B" w:rsidRPr="00933BE9" w:rsidRDefault="00A3253E" w:rsidP="0099638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на визначення обсягу стратегічної </w:t>
      </w:r>
      <w:r w:rsidR="0099638B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екологічної оцінки </w:t>
      </w:r>
      <w:r w:rsidR="00054BB2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</w:t>
      </w:r>
    </w:p>
    <w:p w:rsidR="000C0A91" w:rsidRPr="00933BE9" w:rsidRDefault="009E2878" w:rsidP="009E2878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Змін</w:t>
      </w:r>
      <w:r w:rsidR="00054BB2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та Доповнень</w:t>
      </w: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</w:t>
      </w:r>
      <w:r w:rsidR="0099638B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Програми </w:t>
      </w: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економічного і соціального розвитку </w:t>
      </w:r>
    </w:p>
    <w:p w:rsidR="0099638B" w:rsidRPr="00933BE9" w:rsidRDefault="0099638B" w:rsidP="0099638B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міста Авдіївка </w:t>
      </w:r>
      <w:r w:rsidR="00A53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2021 рік</w:t>
      </w:r>
    </w:p>
    <w:p w:rsidR="0099638B" w:rsidRPr="00933BE9" w:rsidRDefault="0099638B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9638B" w:rsidRPr="00933BE9" w:rsidRDefault="0099638B" w:rsidP="009E2878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</w:t>
      </w:r>
    </w:p>
    <w:p w:rsidR="000C0A91" w:rsidRPr="00933BE9" w:rsidRDefault="000C0A91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9638B" w:rsidRPr="0044223A" w:rsidTr="0099638B">
        <w:tc>
          <w:tcPr>
            <w:tcW w:w="2943" w:type="dxa"/>
          </w:tcPr>
          <w:p w:rsidR="0099638B" w:rsidRPr="00933BE9" w:rsidRDefault="0099638B" w:rsidP="0099638B">
            <w:pPr>
              <w:shd w:val="clear" w:color="auto" w:fill="FDFDFD"/>
              <w:jc w:val="both"/>
              <w:rPr>
                <w:rFonts w:ascii="Times New Roman" w:eastAsia="Times New Roman" w:hAnsi="Times New Roman" w:cs="Times New Roman"/>
                <w:color w:val="252B33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Замовник</w:t>
            </w:r>
          </w:p>
          <w:p w:rsidR="0099638B" w:rsidRPr="00933BE9" w:rsidRDefault="0099638B" w:rsidP="00996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628" w:type="dxa"/>
          </w:tcPr>
          <w:p w:rsidR="0044223A" w:rsidRDefault="00AF5B91" w:rsidP="00AF5B9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Авдіївська міська в</w:t>
            </w:r>
            <w:r w:rsidR="0099638B"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ійськово-цивільна адміністрація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Покровського району Донецької області</w:t>
            </w:r>
            <w:r w:rsidR="0044223A" w:rsidRPr="004422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99638B" w:rsidRPr="0044223A" w:rsidRDefault="0044223A" w:rsidP="00AF5B9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(ЄДРПОУ 44000591)</w:t>
            </w:r>
          </w:p>
        </w:tc>
      </w:tr>
      <w:tr w:rsidR="0099638B" w:rsidRPr="00933BE9" w:rsidTr="0099638B">
        <w:tc>
          <w:tcPr>
            <w:tcW w:w="2943" w:type="dxa"/>
          </w:tcPr>
          <w:p w:rsidR="0099638B" w:rsidRPr="00933BE9" w:rsidRDefault="0099638B" w:rsidP="00996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Юридична адреса</w:t>
            </w:r>
          </w:p>
        </w:tc>
        <w:tc>
          <w:tcPr>
            <w:tcW w:w="6628" w:type="dxa"/>
          </w:tcPr>
          <w:p w:rsidR="0099638B" w:rsidRPr="00933BE9" w:rsidRDefault="0099638B" w:rsidP="00A5568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86065,  Донецька область, м. Авдіївка, </w:t>
            </w:r>
            <w:r w:rsidR="00331E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</w:t>
            </w: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вул. Молодіжна, буд.5</w:t>
            </w:r>
            <w:r w:rsidR="000C0A91"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, тел. (06236) 31125                      </w:t>
            </w:r>
          </w:p>
        </w:tc>
      </w:tr>
      <w:tr w:rsidR="0099638B" w:rsidRPr="00B042C3" w:rsidTr="0099638B">
        <w:tc>
          <w:tcPr>
            <w:tcW w:w="2943" w:type="dxa"/>
          </w:tcPr>
          <w:p w:rsidR="0099638B" w:rsidRPr="00933BE9" w:rsidRDefault="0099638B" w:rsidP="009963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Головний розробник</w:t>
            </w:r>
          </w:p>
        </w:tc>
        <w:tc>
          <w:tcPr>
            <w:tcW w:w="6628" w:type="dxa"/>
          </w:tcPr>
          <w:p w:rsidR="00D272F4" w:rsidRPr="00933BE9" w:rsidRDefault="00D272F4" w:rsidP="0099638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Відділ економічного розвитку, торгівлі та інвестицій </w:t>
            </w:r>
            <w:r w:rsidR="00AF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Авдіївської міської </w:t>
            </w: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військово-цивільної адміністрації </w:t>
            </w:r>
            <w:r w:rsidR="00AF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Покровського району</w:t>
            </w: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Донецької області </w:t>
            </w:r>
          </w:p>
          <w:p w:rsidR="0099638B" w:rsidRPr="00933BE9" w:rsidRDefault="000C0A91" w:rsidP="00AF5B9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Сектор екології та навколишнього середовища  </w:t>
            </w:r>
            <w:r w:rsidR="00AF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Авдіївської міської </w:t>
            </w: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військово-цивільної адміністрації </w:t>
            </w:r>
            <w:r w:rsidR="00AF5B9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Покровського району</w:t>
            </w:r>
            <w:r w:rsidRPr="00933B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Донецької області</w:t>
            </w:r>
          </w:p>
        </w:tc>
      </w:tr>
    </w:tbl>
    <w:p w:rsidR="0099638B" w:rsidRPr="00933BE9" w:rsidRDefault="0099638B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Вид та основні цілі </w:t>
      </w:r>
      <w:bookmarkStart w:id="0" w:name="_Hlk39651667"/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документа державного планування</w:t>
      </w:r>
      <w:bookmarkEnd w:id="0"/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його зв’язок з іншими документами державного планування.</w:t>
      </w:r>
    </w:p>
    <w:p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п. 3 частини першої статті 1 Закону України «Про стратегічну екологічну оцінку», документи державного планування - стратегії, плани, схеми, містобудівна документація, загальнодержавні програми, державні цільові програми та інші програми і програмні документи, включаючи зміни до них, які розробляються та/або підлягають затвердженню органом державної влади, органом місцевого самоврядування.</w:t>
      </w:r>
    </w:p>
    <w:p w:rsidR="00D272F4" w:rsidRPr="00933BE9" w:rsidRDefault="009E2878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економічного і соціального розвитку </w:t>
      </w:r>
      <w:r w:rsidR="000C0A91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міста Авдіївка на 2021 рік 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- Програма) – документ державного планування</w:t>
      </w:r>
      <w:r w:rsidR="00D272F4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місцевого рівня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272F4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яким  визначаються пріоритетні напрями економічного  і соціального розвитку, підвищення стандартів життя населення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272F4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шляхом розбудови інфраструктури, </w:t>
      </w:r>
      <w:r w:rsidR="00C94D8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запобігання забрудненню атмосферного повітря; охорону і раціональне використання природних,  рослинних ресурсів та тваринного світу, </w:t>
      </w:r>
      <w:r w:rsidR="00D272F4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якості та загальної доступності публічних послуг, підтримки ініціатив малого бізнесу та створення позитивного іміджу  м.Авдіївка Донецької області.</w:t>
      </w:r>
    </w:p>
    <w:p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</w:t>
      </w:r>
      <w:r w:rsidR="00C94D8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розроблен</w:t>
      </w:r>
      <w:r w:rsidR="00C94D8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урахуванням </w:t>
      </w:r>
      <w:r w:rsidR="00C94D8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завдань та положень інших документів державного планування, а саме:</w:t>
      </w:r>
    </w:p>
    <w:p w:rsidR="00C94D8C" w:rsidRPr="00933BE9" w:rsidRDefault="00C94D8C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Державна стратегія регіонального розвитку на 2021-2027 року, яка затверджена постановою Кабінету Міністрів України від 05.08.2020 № 695;</w:t>
      </w:r>
    </w:p>
    <w:p w:rsidR="00C94D8C" w:rsidRPr="00933BE9" w:rsidRDefault="00C94D8C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План заходів на 2021-2023 роки з реалізації Державної стратегії регіонального розвитку на 2021-2027 року, затверджений постановою Кабінету Міністрів України від 05.08.2020 № 695;</w:t>
      </w:r>
    </w:p>
    <w:p w:rsidR="00C94D8C" w:rsidRPr="00933BE9" w:rsidRDefault="00C94D8C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положення Указу Президента України від 30 вересня 2019 року №722/2019 «Про цілі сталого розвитку України на період до 2030 року»;</w:t>
      </w:r>
    </w:p>
    <w:p w:rsidR="00C94D8C" w:rsidRPr="00933BE9" w:rsidRDefault="00C94D8C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- Стратегія розвитку Донецької області на період до 2027 року, яка затверджена  розпорядженням голови облдержадміністрації, керівника обласної військово-цивільної адміністрації</w:t>
      </w:r>
      <w:r w:rsidR="007E1A8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17.02.2020 № 147/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5-20 «Про затвердження Стратегії розвитку Донецької області  на пе</w:t>
      </w:r>
      <w:r w:rsidR="007E1A8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ріод до 2027 року та Повну заход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 з реалізації  у 2021-2023 роках Стр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тегії розвитку Донецької області на період до 2027 року</w:t>
      </w:r>
      <w:r w:rsidR="007E1A8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»;</w:t>
      </w:r>
    </w:p>
    <w:p w:rsidR="007E1A80" w:rsidRPr="00933BE9" w:rsidRDefault="007E1A80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План заходів з реалізації у 2021-2023 роках Стратегії розвитку Донецької області на період до 2027 року, який затверджений розпорядженням голови облдержадміністрації, керівника обласної військово-цивільної адміністрації від 17.02.2020 № 147/5-20 «Про затвердження Стратегії розвитку Донецької області  на період до 2027 року та Повну заходів з реалізації  у 2021-2023 роках Стр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тегії розвитку Донецької області на період до 2027 року».</w:t>
      </w:r>
    </w:p>
    <w:p w:rsidR="007E1A80" w:rsidRPr="00933BE9" w:rsidRDefault="007E1A80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Стратегічні цілі Програми:</w:t>
      </w:r>
    </w:p>
    <w:p w:rsidR="007E1A80" w:rsidRPr="00331EC5" w:rsidRDefault="007E1A80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9E1664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1EC5" w:rsidRPr="00331EC5">
        <w:rPr>
          <w:rFonts w:ascii="Times New Roman" w:eastAsia="Arial,Bold" w:hAnsi="Times New Roman" w:cs="Times New Roman"/>
          <w:bCs/>
          <w:sz w:val="28"/>
          <w:szCs w:val="28"/>
          <w:lang w:val="uk-UA"/>
        </w:rPr>
        <w:t>Оновлена, конкурентоспроможна економіка</w:t>
      </w:r>
      <w:r w:rsidR="009E1664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E1664" w:rsidRPr="00331EC5" w:rsidRDefault="009E1664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331EC5" w:rsidRPr="00331EC5">
        <w:rPr>
          <w:rFonts w:ascii="Times New Roman" w:eastAsia="Arial,Bold" w:hAnsi="Times New Roman" w:cs="Times New Roman"/>
          <w:bCs/>
          <w:color w:val="000000" w:themeColor="text1"/>
          <w:sz w:val="28"/>
          <w:szCs w:val="28"/>
          <w:lang w:val="uk-UA"/>
        </w:rPr>
        <w:t>Якість життя та людський розвиток</w:t>
      </w: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E1664" w:rsidRPr="00331EC5" w:rsidRDefault="00933BE9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="00331EC5" w:rsidRPr="00331EC5">
        <w:rPr>
          <w:rFonts w:ascii="Times New Roman" w:eastAsia="Arial,Bold" w:hAnsi="Times New Roman" w:cs="Times New Roman"/>
          <w:bCs/>
          <w:color w:val="000000" w:themeColor="text1"/>
          <w:sz w:val="28"/>
          <w:szCs w:val="28"/>
          <w:lang w:val="uk-UA"/>
        </w:rPr>
        <w:t xml:space="preserve"> Ефективне управління та безпека в умовах зовнішніх і внутрішніх викликів</w:t>
      </w:r>
      <w:r w:rsidR="009E1664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E1664" w:rsidRPr="00331EC5" w:rsidRDefault="009E1664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</w:t>
      </w:r>
      <w:r w:rsidR="00331EC5" w:rsidRPr="00331EC5">
        <w:rPr>
          <w:rFonts w:ascii="Times New Roman" w:eastAsia="Arial,Bold" w:hAnsi="Times New Roman" w:cs="Times New Roman"/>
          <w:bCs/>
          <w:sz w:val="28"/>
          <w:szCs w:val="28"/>
          <w:lang w:val="uk-UA"/>
        </w:rPr>
        <w:t>Екологічна безпека та збалансоване природокористування</w:t>
      </w: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E1664" w:rsidRPr="00933BE9" w:rsidRDefault="009E1664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Виконання Програми здійснюватиметься</w:t>
      </w:r>
      <w:r w:rsidR="00357D36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межах реальних фінансових можливостей бюджетів всіх рівнів та за рахунок позабюджетних коштів.</w:t>
      </w:r>
    </w:p>
    <w:p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Враховуючи вищевикладене, з метою посилення позитивного впливу на розвиток сфери  охорони навколишнього природнього середовища, житлового господарства та комунальної інфраструктури, розвитку м.Авдіївка виникла необхідність внесення змін</w:t>
      </w:r>
      <w:r w:rsidR="0057173C" w:rsidRPr="0057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доповнень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Програми.</w:t>
      </w:r>
    </w:p>
    <w:p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Зміни</w:t>
      </w:r>
      <w:r w:rsidR="005717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доповнення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вносяться до Програми, передбачають:</w:t>
      </w:r>
    </w:p>
    <w:p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уточнення сум, виконавців та джерел фінансування заходів;</w:t>
      </w:r>
    </w:p>
    <w:p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внесення додаткових заходів (додаються).</w:t>
      </w:r>
    </w:p>
    <w:p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Інформація про те, якою мірою документ державного планування визначає </w:t>
      </w:r>
      <w:r w:rsidR="00F910C0" w:rsidRPr="00F910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умови для реалізації видів діяльності або об’єктів, щодо яких законодавством передбачено здійснення процедури оцінки впливу на довкілля (у тому числі щодо визначення місцезнаходження, розміру, потужності або розміщення ресурсів)</w:t>
      </w:r>
    </w:p>
    <w:p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638B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Внесені зміни</w:t>
      </w:r>
      <w:r w:rsidR="005717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доповнення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Програми охоплюють такі види господарської діяльності: охорона навколишнього природнього середовища, житлове господарство т</w:t>
      </w:r>
      <w:r w:rsidR="00933BE9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комунальна інфраструктура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5717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інвестиційні та інфраструктурні проекти,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розвиток міста Авдіївка Донецької області.</w:t>
      </w:r>
    </w:p>
    <w:p w:rsidR="00357D36" w:rsidRPr="00933BE9" w:rsidRDefault="00357D36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частини першої статті 3 Закону України  «Про оцінку впливу на довкілля» здійснення  оцінки впливу на довкілля  є обов’язковим  у </w:t>
      </w:r>
      <w:r w:rsidR="00EF305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процесі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прийняття рішень про провадження планової діяльності, визначеної частини  другою і </w:t>
      </w:r>
      <w:r w:rsidR="00EF305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третьою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3.</w:t>
      </w:r>
    </w:p>
    <w:p w:rsidR="00DC160E" w:rsidRPr="00AF5B91" w:rsidRDefault="00EF305E" w:rsidP="00AF5B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5B91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Даний документ державного планування  (зміни до Програми) не передбачає реалізацію видів діяльності або об’єктів, щодо яких законодавством передбачено здійснення процедури оцінки впливу на довкілля.</w:t>
      </w:r>
    </w:p>
    <w:p w:rsidR="00DD39AD" w:rsidRPr="00933BE9" w:rsidRDefault="00DD39AD" w:rsidP="00EF305E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452"/>
        <w:gridCol w:w="3191"/>
      </w:tblGrid>
      <w:tr w:rsidR="002C4085" w:rsidRPr="002C4085" w:rsidTr="00EF305E">
        <w:tc>
          <w:tcPr>
            <w:tcW w:w="4928" w:type="dxa"/>
          </w:tcPr>
          <w:p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критерії</w:t>
            </w:r>
          </w:p>
        </w:tc>
        <w:tc>
          <w:tcPr>
            <w:tcW w:w="1452" w:type="dxa"/>
          </w:tcPr>
          <w:p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так/ні</w:t>
            </w:r>
          </w:p>
        </w:tc>
        <w:tc>
          <w:tcPr>
            <w:tcW w:w="3191" w:type="dxa"/>
          </w:tcPr>
          <w:p w:rsidR="00EF305E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обґрунтування</w:t>
            </w:r>
          </w:p>
        </w:tc>
      </w:tr>
      <w:tr w:rsidR="002C4085" w:rsidRPr="002C4085" w:rsidTr="00DD39AD">
        <w:tc>
          <w:tcPr>
            <w:tcW w:w="4928" w:type="dxa"/>
          </w:tcPr>
          <w:p w:rsidR="00EF305E" w:rsidRPr="002C4085" w:rsidRDefault="00EF305E" w:rsidP="00EF305E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Виконання змін передбачатиме реалізацію нової (додаткової) діяльності, не передбаченої у документі державного планування , щодо якої законодавством передбачено здійснення процедури оцінки впливу на довкілля</w:t>
            </w:r>
          </w:p>
        </w:tc>
        <w:tc>
          <w:tcPr>
            <w:tcW w:w="1452" w:type="dxa"/>
            <w:vAlign w:val="center"/>
          </w:tcPr>
          <w:p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3191" w:type="dxa"/>
            <w:vAlign w:val="center"/>
          </w:tcPr>
          <w:p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C4085" w:rsidRPr="002C4085" w:rsidTr="00DD39AD">
        <w:tc>
          <w:tcPr>
            <w:tcW w:w="4928" w:type="dxa"/>
          </w:tcPr>
          <w:p w:rsidR="00EF305E" w:rsidRPr="002C4085" w:rsidRDefault="00DD39AD" w:rsidP="002C4085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Виконання змін передбачатиме зміни у реалізації визначеної у документі державного планування діяльності, щодо якої законодавством передбачено зді</w:t>
            </w:r>
            <w:r w:rsid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йснення процедури оцінки впливу на 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довкілля:</w:t>
            </w:r>
            <w:r w:rsidRPr="002C4085">
              <w:rPr>
                <w:rFonts w:ascii="Times New Roman" w:hAnsi="Times New Roman" w:cs="Times New Roman"/>
                <w:lang w:val="uk-UA"/>
              </w:rPr>
              <w:br/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характ</w:t>
            </w:r>
            <w:r w:rsid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еристики та розміру (масштабів) здійснення 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діяльності</w:t>
            </w:r>
            <w:r w:rsidRPr="002C4085">
              <w:rPr>
                <w:rStyle w:val="rvts37"/>
                <w:rFonts w:ascii="Times New Roman" w:hAnsi="Times New Roman" w:cs="Times New Roman"/>
                <w:b/>
                <w:bCs/>
                <w:shd w:val="clear" w:color="auto" w:fill="FFFFFF"/>
                <w:vertAlign w:val="superscript"/>
                <w:lang w:val="uk-UA"/>
              </w:rPr>
              <w:t>-1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;</w:t>
            </w:r>
            <w:r w:rsidRPr="002C4085">
              <w:rPr>
                <w:rFonts w:ascii="Times New Roman" w:hAnsi="Times New Roman" w:cs="Times New Roman"/>
                <w:lang w:val="uk-UA"/>
              </w:rPr>
              <w:br/>
            </w:r>
            <w:r w:rsid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місця провадження 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(розташування);</w:t>
            </w:r>
            <w:r w:rsidRPr="002C4085">
              <w:rPr>
                <w:rFonts w:ascii="Times New Roman" w:hAnsi="Times New Roman" w:cs="Times New Roman"/>
                <w:lang w:val="uk-UA"/>
              </w:rPr>
              <w:br/>
            </w:r>
            <w:r w:rsid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умов здійснення </w:t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діяльності;</w:t>
            </w:r>
            <w:r w:rsidRPr="002C4085">
              <w:rPr>
                <w:rFonts w:ascii="Times New Roman" w:hAnsi="Times New Roman" w:cs="Times New Roman"/>
                <w:lang w:val="uk-UA"/>
              </w:rPr>
              <w:br/>
            </w: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виділених природних та/або матеріальних ресурсів.</w:t>
            </w:r>
          </w:p>
        </w:tc>
        <w:tc>
          <w:tcPr>
            <w:tcW w:w="1452" w:type="dxa"/>
            <w:vAlign w:val="center"/>
          </w:tcPr>
          <w:p w:rsidR="00EF305E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3191" w:type="dxa"/>
            <w:vAlign w:val="center"/>
          </w:tcPr>
          <w:p w:rsidR="00EF305E" w:rsidRPr="002C4085" w:rsidRDefault="00EF305E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C4085" w:rsidRPr="002C4085" w:rsidTr="00DD39AD">
        <w:tc>
          <w:tcPr>
            <w:tcW w:w="4928" w:type="dxa"/>
          </w:tcPr>
          <w:p w:rsidR="00DD39AD" w:rsidRPr="002C4085" w:rsidRDefault="00DD39AD" w:rsidP="000C0A91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Виконання змін передбачатиме зміну у реалізації визначеної у документі державного планування діяльності, яка не підлягала оцінці впливу на довкілля та яка внаслідок таких змін вимагатиме здійснення оцінки впливу на довкілля</w:t>
            </w:r>
          </w:p>
        </w:tc>
        <w:tc>
          <w:tcPr>
            <w:tcW w:w="1452" w:type="dxa"/>
            <w:vAlign w:val="center"/>
          </w:tcPr>
          <w:p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3191" w:type="dxa"/>
            <w:vAlign w:val="center"/>
          </w:tcPr>
          <w:p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C4085" w:rsidRPr="002C4085" w:rsidTr="00DD39AD">
        <w:tc>
          <w:tcPr>
            <w:tcW w:w="4928" w:type="dxa"/>
          </w:tcPr>
          <w:p w:rsidR="00DD39AD" w:rsidRPr="002C4085" w:rsidRDefault="00DD39AD" w:rsidP="000C0A91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2C4085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Виконання зміни до документа державного планування може погіршити наявні екологічні проблеми, у тому числі ризики впливу на здоров’я населення, які стосуються документа державного планування</w:t>
            </w:r>
          </w:p>
        </w:tc>
        <w:tc>
          <w:tcPr>
            <w:tcW w:w="1452" w:type="dxa"/>
            <w:vAlign w:val="center"/>
          </w:tcPr>
          <w:p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C4085">
              <w:rPr>
                <w:rFonts w:ascii="Times New Roman" w:eastAsia="Times New Roman" w:hAnsi="Times New Roman" w:cs="Times New Roman"/>
                <w:lang w:val="uk-UA" w:eastAsia="ru-RU"/>
              </w:rPr>
              <w:t>ні</w:t>
            </w:r>
          </w:p>
        </w:tc>
        <w:tc>
          <w:tcPr>
            <w:tcW w:w="3191" w:type="dxa"/>
            <w:vAlign w:val="center"/>
          </w:tcPr>
          <w:p w:rsidR="00DD39AD" w:rsidRPr="002C4085" w:rsidRDefault="00DD39AD" w:rsidP="00DD39A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EF305E" w:rsidRPr="00933BE9" w:rsidRDefault="00EF305E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:rsidR="0099638B" w:rsidRPr="00331EC5" w:rsidRDefault="0099638B" w:rsidP="00331EC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 Ймовірні наслідки</w:t>
      </w:r>
    </w:p>
    <w:p w:rsidR="0099638B" w:rsidRPr="00331EC5" w:rsidRDefault="0099638B" w:rsidP="00331EC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а) для довкілля</w:t>
      </w:r>
      <w:r w:rsidR="00904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331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у тому числі для здоров’я населення:</w:t>
      </w:r>
    </w:p>
    <w:p w:rsidR="0099638B" w:rsidRPr="00331EC5" w:rsidRDefault="00DD39AD" w:rsidP="00331EC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Реалізація запропонованих змін до Програми не несе ймовірних наслідків для таких складових навколишнього середовища як атмосферне повітря, водні ресурси, </w:t>
      </w:r>
      <w:r w:rsidR="00A423BE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ґрунт</w:t>
      </w:r>
      <w:r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ландшафт, біорізноманіття та рекреаційні зони.</w:t>
      </w:r>
    </w:p>
    <w:p w:rsidR="00B568E2" w:rsidRPr="00331EC5" w:rsidRDefault="00B568E2" w:rsidP="00331EC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1EC5">
        <w:rPr>
          <w:rFonts w:ascii="Times New Roman" w:hAnsi="Times New Roman" w:cs="Times New Roman"/>
          <w:i/>
          <w:sz w:val="28"/>
          <w:szCs w:val="28"/>
          <w:lang w:val="uk-UA"/>
        </w:rPr>
        <w:t>б) для територій з природоохоронним статусом</w:t>
      </w:r>
      <w:r w:rsidR="00A37451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B568E2" w:rsidRPr="00331EC5" w:rsidRDefault="00B568E2" w:rsidP="00331E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31361027"/>
      <w:r w:rsidRPr="00331EC5">
        <w:rPr>
          <w:rFonts w:ascii="Times New Roman" w:hAnsi="Times New Roman" w:cs="Times New Roman"/>
          <w:sz w:val="28"/>
          <w:szCs w:val="28"/>
          <w:lang w:val="uk-UA"/>
        </w:rPr>
        <w:t>Ймовірні наслідки від об’єктів інфраструктури, що пропонуються до реалізації відповідно до Програми, на території з природоохоронним статусом відсутні.</w:t>
      </w:r>
    </w:p>
    <w:bookmarkEnd w:id="1"/>
    <w:p w:rsidR="0099638B" w:rsidRPr="00331EC5" w:rsidRDefault="00B568E2" w:rsidP="00331EC5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E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</w:t>
      </w:r>
      <w:r w:rsidR="0099638B" w:rsidRPr="00331EC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99638B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99638B" w:rsidRPr="00331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транскордонні наслідки для довкілля, у тому числі для здоров’я населення</w:t>
      </w:r>
      <w:r w:rsidR="0099638B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відсутні.</w:t>
      </w:r>
      <w:r w:rsidR="000C0A91" w:rsidRP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DC160E" w:rsidRPr="00933BE9" w:rsidRDefault="00DC160E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:rsidR="0099638B" w:rsidRPr="00933BE9" w:rsidRDefault="0099638B" w:rsidP="000C0A91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Виправдані альтернативи, які необхідно розглянути, у тому числі якщо документ державного планування не буде затверджено.</w:t>
      </w:r>
    </w:p>
    <w:p w:rsidR="003F4F1C" w:rsidRPr="00331EC5" w:rsidRDefault="003F4F1C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38B" w:rsidRPr="00933BE9" w:rsidRDefault="003F4F1C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Зважаючи комплексність рішень змін </w:t>
      </w:r>
      <w:r w:rsidR="005717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доповнень</w:t>
      </w:r>
      <w:r w:rsidR="00693D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Про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рами, що обумовлюється необхідністю виконання стратегічних цілей Програми,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призначених для різних  видів соціальної, рекреаційної та комунікаційної діяльності, здійснюється розгляд виправданих альтернатив планових рішень. </w:t>
      </w:r>
      <w:r w:rsid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Загальною альтернативою є </w:t>
      </w:r>
      <w:r w:rsidR="00DC160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«Нульовий сценарій»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C4754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якому дані зміни до Програми не затверджуються</w:t>
      </w:r>
      <w:r w:rsid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C160E" w:rsidRPr="00933BE9" w:rsidRDefault="00DC160E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 Дослідження, які необхідно провести, методи і критерії, що використовуватимуться під час стратегічної екологічної оцінки.</w:t>
      </w:r>
    </w:p>
    <w:p w:rsidR="0099638B" w:rsidRPr="00933BE9" w:rsidRDefault="00C47540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Предметом стратегічної екологічної</w:t>
      </w:r>
      <w:r w:rsid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оцінки є зміни </w:t>
      </w:r>
      <w:r w:rsidR="005717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доповнення </w:t>
      </w:r>
      <w:r w:rsid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 Програми та </w:t>
      </w:r>
      <w:r w:rsidR="003F4F1C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їх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2FC8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потенційний вплив на стан довкілля та здоров’я населення.</w:t>
      </w:r>
    </w:p>
    <w:p w:rsidR="004F2FC8" w:rsidRPr="00933BE9" w:rsidRDefault="004F2FC8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Запропоновані зміни</w:t>
      </w:r>
      <w:r w:rsidR="005717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доповнення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Програми є незначними  і не несуть ймовірних наслідків для стану довкілля та здоров’я населення.</w:t>
      </w:r>
    </w:p>
    <w:p w:rsidR="00DC160E" w:rsidRPr="00933BE9" w:rsidRDefault="00DC160E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 Заходи, які передбачається розглянути для запобігання, зменшення та пом’якшення негативних наслідків виконання документа державного планування.</w:t>
      </w:r>
      <w:r w:rsidR="00DC160E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99638B" w:rsidRPr="00933BE9" w:rsidRDefault="00947060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 перегляду або внесення змін до затверджених заходів – не передбачається.</w:t>
      </w:r>
    </w:p>
    <w:p w:rsidR="00947060" w:rsidRPr="00933BE9" w:rsidRDefault="00947060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Необхідність перегляду або внесення змін до заходів, передбачених для здійснення моніторингу наслідків виконання документа державного планування для довкілля, у тому числі для здоров’я  населення – не передбачається.</w:t>
      </w:r>
    </w:p>
    <w:p w:rsidR="00DC160E" w:rsidRPr="00933BE9" w:rsidRDefault="00DC160E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8. Пропозиції щодо структури та змісту звіту про стратегічну екологічну оцінку.</w:t>
      </w:r>
      <w:r w:rsidR="00DC160E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Стратегічна екологічна оцінка </w:t>
      </w:r>
      <w:r w:rsidR="00947060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має враховувати  вимоги статті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 Закону України «Про стратегічну екологічну оцінку» та відповідно до Методичних рекомендацій із здійснення стратегічної екологічної оцінки документів державного планування, затверджених наказом Міністерства екології і природних ресурсів України №296 від 10.08.2018р. та № 425 від 23.12.2018р.</w:t>
      </w:r>
    </w:p>
    <w:p w:rsidR="00947060" w:rsidRPr="00933BE9" w:rsidRDefault="00947060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Але, з огляду на незначні зміни до документа державного планування,  пропонується не здійснювати стратегічну екологічну оцінку  для зазначених змін.</w:t>
      </w:r>
    </w:p>
    <w:p w:rsidR="00DC160E" w:rsidRPr="00933BE9" w:rsidRDefault="00DC160E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</w:p>
    <w:p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52B33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9. Орган,</w:t>
      </w:r>
      <w:r w:rsid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до якого подаються зауваження і пропозиції, та строки їх подання.</w:t>
      </w:r>
      <w:r w:rsidR="00DC160E" w:rsidRPr="00933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DC160E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Зауваження і пропозиції до Заяви про визначення обсягу стратегічної екологічної оцінки 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змін </w:t>
      </w:r>
      <w:r w:rsidR="003F4F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доповнень 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Програми 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економічного та соціального розвитку м.Авдіївка на 2021 рік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подаються до </w:t>
      </w:r>
      <w:r w:rsidR="00DC160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сектору екології та навколишнього середовища </w:t>
      </w:r>
      <w:r w:rsidR="00AF5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Авдіївської міської 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</w:t>
      </w:r>
      <w:r w:rsidR="00DC160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во-цивільної адміністрації </w:t>
      </w:r>
      <w:r w:rsidR="00AF5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Покровського району </w:t>
      </w:r>
      <w:r w:rsidR="00DC160E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Донецької області</w:t>
      </w:r>
      <w:r w:rsidR="00AF5B9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DC160E" w:rsidRPr="00933BE9" w:rsidRDefault="00DC160E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Адреса: 86065, Донець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 область, місто Авдіївка,                                     вул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Молодіжна,</w:t>
      </w:r>
      <w:r w:rsidR="009174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буд.5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тел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.: (06236)31125, </w:t>
      </w:r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е-mail: </w:t>
      </w:r>
      <w:hyperlink r:id="rId5" w:history="1">
        <w:r w:rsidRPr="00933BE9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ecolog@avdvca.gov.ua</w:t>
        </w:r>
      </w:hyperlink>
      <w:r w:rsidR="0099638B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C160E" w:rsidRPr="00933BE9" w:rsidRDefault="00DC160E" w:rsidP="0099638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9638B" w:rsidRPr="00933BE9" w:rsidRDefault="0099638B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Строк подання зауважень і пропозицій становить 15 днів з дня оприлюднення Заяви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визначення обсягу стратегічної екологічної оцінки до змін до </w:t>
      </w:r>
      <w:r w:rsidR="00331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30119D"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рограми</w:t>
      </w:r>
      <w:r w:rsidRPr="00933B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тобто - </w:t>
      </w:r>
      <w:r w:rsidR="0030119D"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до</w:t>
      </w:r>
      <w:r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D85389"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905EBA"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  <w:r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D85389"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квітня</w:t>
      </w:r>
      <w:r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202</w:t>
      </w:r>
      <w:r w:rsidR="0030119D"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Pr="0090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року включно</w:t>
      </w:r>
      <w:r w:rsidR="00A91136" w:rsidRPr="00A91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0119D" w:rsidRPr="00933BE9" w:rsidRDefault="0030119D" w:rsidP="00DC160E">
      <w:pPr>
        <w:shd w:val="clear" w:color="auto" w:fill="FD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33B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Пропозиції і зауваження, що подані після встановленого терміну, не розглядаються. </w:t>
      </w:r>
    </w:p>
    <w:p w:rsidR="007409EE" w:rsidRPr="006A1A55" w:rsidRDefault="007409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A55" w:rsidRPr="00472EF4" w:rsidRDefault="006A1A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A55" w:rsidRPr="00472EF4" w:rsidRDefault="006A1A55" w:rsidP="006A1A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1A55" w:rsidRDefault="006A1A55" w:rsidP="006A1A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Завідувач сектору екології та</w:t>
      </w:r>
    </w:p>
    <w:p w:rsidR="006A1A55" w:rsidRDefault="006A1A55" w:rsidP="006A1A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AF5B91" w:rsidRDefault="00AF5B91" w:rsidP="006A1A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Авдіївської міської </w:t>
      </w:r>
    </w:p>
    <w:p w:rsidR="006A1A55" w:rsidRDefault="006A1A55" w:rsidP="006A1A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військово-цивільної  адміністрації </w:t>
      </w:r>
    </w:p>
    <w:p w:rsidR="006A1A55" w:rsidRPr="006A1A55" w:rsidRDefault="00AF5B91" w:rsidP="006A1A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Покровського району</w:t>
      </w:r>
      <w:r w:rsidR="006A1A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Донецької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645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   </w:t>
      </w:r>
      <w:bookmarkStart w:id="2" w:name="_GoBack"/>
      <w:bookmarkEnd w:id="2"/>
      <w:r w:rsidR="00645E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Людмила МЕЖЕНІНА</w:t>
      </w:r>
    </w:p>
    <w:sectPr w:rsidR="006A1A55" w:rsidRPr="006A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41353"/>
    <w:multiLevelType w:val="multilevel"/>
    <w:tmpl w:val="2666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C82"/>
    <w:rsid w:val="00015C82"/>
    <w:rsid w:val="00054BB2"/>
    <w:rsid w:val="000C0A91"/>
    <w:rsid w:val="002C4085"/>
    <w:rsid w:val="0030119D"/>
    <w:rsid w:val="00331EC5"/>
    <w:rsid w:val="00357D36"/>
    <w:rsid w:val="00372A20"/>
    <w:rsid w:val="003F4F1C"/>
    <w:rsid w:val="0044223A"/>
    <w:rsid w:val="00472EF4"/>
    <w:rsid w:val="004F2FC8"/>
    <w:rsid w:val="0057173C"/>
    <w:rsid w:val="005A4A17"/>
    <w:rsid w:val="005C2E7C"/>
    <w:rsid w:val="00645EB0"/>
    <w:rsid w:val="00693DA5"/>
    <w:rsid w:val="006A1A55"/>
    <w:rsid w:val="007409EE"/>
    <w:rsid w:val="007E1A80"/>
    <w:rsid w:val="0086680A"/>
    <w:rsid w:val="00904856"/>
    <w:rsid w:val="00905EBA"/>
    <w:rsid w:val="0091745E"/>
    <w:rsid w:val="00933BE9"/>
    <w:rsid w:val="00947060"/>
    <w:rsid w:val="0099638B"/>
    <w:rsid w:val="009E1664"/>
    <w:rsid w:val="009E2878"/>
    <w:rsid w:val="00A3253E"/>
    <w:rsid w:val="00A37451"/>
    <w:rsid w:val="00A423BE"/>
    <w:rsid w:val="00A53A98"/>
    <w:rsid w:val="00A5568E"/>
    <w:rsid w:val="00A91136"/>
    <w:rsid w:val="00AF5357"/>
    <w:rsid w:val="00AF5B91"/>
    <w:rsid w:val="00B042C3"/>
    <w:rsid w:val="00B31777"/>
    <w:rsid w:val="00B47695"/>
    <w:rsid w:val="00B568E2"/>
    <w:rsid w:val="00B92780"/>
    <w:rsid w:val="00BD6405"/>
    <w:rsid w:val="00C47540"/>
    <w:rsid w:val="00C64931"/>
    <w:rsid w:val="00C94D8C"/>
    <w:rsid w:val="00D272F4"/>
    <w:rsid w:val="00D85389"/>
    <w:rsid w:val="00D911B9"/>
    <w:rsid w:val="00DC160E"/>
    <w:rsid w:val="00DD39AD"/>
    <w:rsid w:val="00EF305E"/>
    <w:rsid w:val="00F56C58"/>
    <w:rsid w:val="00F9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F93D"/>
  <w15:docId w15:val="{E83F6596-385D-45D6-9DEC-19D5F12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9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9638B"/>
    <w:rPr>
      <w:b/>
      <w:bCs/>
    </w:rPr>
  </w:style>
  <w:style w:type="character" w:styleId="a4">
    <w:name w:val="Hyperlink"/>
    <w:basedOn w:val="a0"/>
    <w:uiPriority w:val="99"/>
    <w:unhideWhenUsed/>
    <w:rsid w:val="0099638B"/>
    <w:rPr>
      <w:color w:val="0000FF"/>
      <w:u w:val="single"/>
    </w:rPr>
  </w:style>
  <w:style w:type="character" w:styleId="a5">
    <w:name w:val="Emphasis"/>
    <w:basedOn w:val="a0"/>
    <w:uiPriority w:val="20"/>
    <w:qFormat/>
    <w:rsid w:val="0099638B"/>
    <w:rPr>
      <w:i/>
      <w:iCs/>
    </w:rPr>
  </w:style>
  <w:style w:type="table" w:styleId="a6">
    <w:name w:val="Table Grid"/>
    <w:basedOn w:val="a1"/>
    <w:uiPriority w:val="59"/>
    <w:rsid w:val="0099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EF305E"/>
  </w:style>
  <w:style w:type="character" w:customStyle="1" w:styleId="rvts37">
    <w:name w:val="rvts37"/>
    <w:basedOn w:val="a0"/>
    <w:rsid w:val="00DD39AD"/>
  </w:style>
  <w:style w:type="paragraph" w:styleId="a7">
    <w:name w:val="List Paragraph"/>
    <w:basedOn w:val="a"/>
    <w:uiPriority w:val="34"/>
    <w:qFormat/>
    <w:rsid w:val="00331EC5"/>
    <w:pPr>
      <w:ind w:left="720"/>
      <w:contextualSpacing/>
    </w:pPr>
  </w:style>
  <w:style w:type="paragraph" w:styleId="a8">
    <w:name w:val="No Spacing"/>
    <w:uiPriority w:val="1"/>
    <w:qFormat/>
    <w:rsid w:val="00AF5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og@avdvc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22</cp:revision>
  <dcterms:created xsi:type="dcterms:W3CDTF">2021-03-16T06:44:00Z</dcterms:created>
  <dcterms:modified xsi:type="dcterms:W3CDTF">2021-04-12T08:42:00Z</dcterms:modified>
</cp:coreProperties>
</file>